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B2F4D" w14:textId="77777777" w:rsidR="00030EE9" w:rsidRPr="00B741BA" w:rsidRDefault="00030EE9" w:rsidP="00030EE9">
      <w:pPr>
        <w:spacing w:line="276" w:lineRule="auto"/>
        <w:jc w:val="center"/>
        <w:rPr>
          <w:rFonts w:ascii="Times New Roman" w:hAnsi="Times New Roman" w:cs="Times New Roman"/>
          <w:b/>
          <w:sz w:val="20"/>
          <w:szCs w:val="20"/>
          <w:u w:val="single"/>
        </w:rPr>
      </w:pPr>
      <w:r w:rsidRPr="00B741BA">
        <w:rPr>
          <w:rFonts w:ascii="Times New Roman" w:hAnsi="Times New Roman" w:cs="Times New Roman"/>
          <w:noProof/>
          <w:sz w:val="20"/>
          <w:szCs w:val="20"/>
        </w:rPr>
        <w:drawing>
          <wp:inline distT="0" distB="0" distL="0" distR="0" wp14:anchorId="4F56617F" wp14:editId="3FE729B1">
            <wp:extent cx="2231727"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F_Foundation_logo.jpg"/>
                    <pic:cNvPicPr/>
                  </pic:nvPicPr>
                  <pic:blipFill>
                    <a:blip r:embed="rId8">
                      <a:extLst>
                        <a:ext uri="{28A0092B-C50C-407E-A947-70E740481C1C}">
                          <a14:useLocalDpi xmlns:a14="http://schemas.microsoft.com/office/drawing/2010/main" val="0"/>
                        </a:ext>
                      </a:extLst>
                    </a:blip>
                    <a:stretch>
                      <a:fillRect/>
                    </a:stretch>
                  </pic:blipFill>
                  <pic:spPr>
                    <a:xfrm>
                      <a:off x="0" y="0"/>
                      <a:ext cx="2236244" cy="862803"/>
                    </a:xfrm>
                    <a:prstGeom prst="rect">
                      <a:avLst/>
                    </a:prstGeom>
                  </pic:spPr>
                </pic:pic>
              </a:graphicData>
            </a:graphic>
          </wp:inline>
        </w:drawing>
      </w:r>
    </w:p>
    <w:p w14:paraId="7F42C3F4" w14:textId="39B00243" w:rsidR="001E0508" w:rsidRPr="00B741BA" w:rsidRDefault="001E0508" w:rsidP="00030EE9">
      <w:pPr>
        <w:spacing w:after="0"/>
        <w:rPr>
          <w:rFonts w:ascii="Times New Roman" w:hAnsi="Times New Roman" w:cs="Times New Roman"/>
          <w:b/>
          <w:sz w:val="20"/>
          <w:szCs w:val="20"/>
          <w:u w:val="single"/>
          <w:bdr w:val="none" w:sz="0" w:space="0" w:color="auto" w:frame="1"/>
        </w:rPr>
      </w:pPr>
    </w:p>
    <w:p w14:paraId="3053A4EC" w14:textId="77777777" w:rsidR="0023402F" w:rsidRPr="00B741BA" w:rsidRDefault="0023402F" w:rsidP="00030EE9">
      <w:pPr>
        <w:spacing w:after="0" w:line="276" w:lineRule="auto"/>
        <w:rPr>
          <w:rFonts w:ascii="Times New Roman" w:hAnsi="Times New Roman" w:cs="Times New Roman"/>
          <w:sz w:val="20"/>
          <w:szCs w:val="20"/>
          <w:bdr w:val="none" w:sz="0" w:space="0" w:color="auto" w:frame="1"/>
        </w:rPr>
      </w:pPr>
      <w:bookmarkStart w:id="0" w:name="_GoBack"/>
      <w:bookmarkEnd w:id="0"/>
    </w:p>
    <w:p w14:paraId="374626C6" w14:textId="77777777" w:rsidR="0023402F" w:rsidRPr="00B741BA" w:rsidRDefault="0023402F" w:rsidP="0023402F">
      <w:pPr>
        <w:spacing w:after="0"/>
        <w:rPr>
          <w:rFonts w:ascii="Times New Roman" w:hAnsi="Times New Roman" w:cs="Times New Roman"/>
          <w:sz w:val="20"/>
          <w:szCs w:val="20"/>
          <w:bdr w:val="none" w:sz="0" w:space="0" w:color="auto" w:frame="1"/>
        </w:rPr>
      </w:pPr>
    </w:p>
    <w:p w14:paraId="546C0706" w14:textId="4B44F132" w:rsidR="00030EE9" w:rsidRPr="00B741BA" w:rsidRDefault="001E0508" w:rsidP="00BC238C">
      <w:pPr>
        <w:spacing w:after="0"/>
        <w:jc w:val="both"/>
        <w:rPr>
          <w:rFonts w:ascii="Times New Roman" w:hAnsi="Times New Roman" w:cs="Times New Roman"/>
          <w:sz w:val="20"/>
          <w:szCs w:val="20"/>
          <w:bdr w:val="none" w:sz="0" w:space="0" w:color="auto" w:frame="1"/>
        </w:rPr>
      </w:pPr>
      <w:r w:rsidRPr="00B741BA">
        <w:rPr>
          <w:rFonts w:ascii="Times New Roman" w:hAnsi="Times New Roman" w:cs="Times New Roman"/>
          <w:noProof/>
          <w:sz w:val="20"/>
          <w:szCs w:val="20"/>
        </w:rPr>
        <w:drawing>
          <wp:inline distT="0" distB="0" distL="0" distR="0" wp14:anchorId="1D09872E" wp14:editId="55670927">
            <wp:extent cx="5943600" cy="2980690"/>
            <wp:effectExtent l="152400" t="171450" r="361950" b="3530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6170513_1129896584269906_468562006295203268_n.jpg"/>
                    <pic:cNvPicPr/>
                  </pic:nvPicPr>
                  <pic:blipFill rotWithShape="1">
                    <a:blip r:embed="rId9" cstate="print">
                      <a:extLst>
                        <a:ext uri="{28A0092B-C50C-407E-A947-70E740481C1C}">
                          <a14:useLocalDpi xmlns:a14="http://schemas.microsoft.com/office/drawing/2010/main" val="0"/>
                        </a:ext>
                      </a:extLst>
                    </a:blip>
                    <a:srcRect t="9904"/>
                    <a:stretch/>
                  </pic:blipFill>
                  <pic:spPr bwMode="auto">
                    <a:xfrm>
                      <a:off x="0" y="0"/>
                      <a:ext cx="5943600" cy="298069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321A333" w14:textId="77777777" w:rsidR="00DD6150" w:rsidRDefault="0023402F" w:rsidP="00DD6150">
      <w:pPr>
        <w:spacing w:after="0"/>
        <w:rPr>
          <w:rFonts w:ascii="Times New Roman" w:hAnsi="Times New Roman" w:cs="Times New Roman"/>
          <w:b/>
          <w:sz w:val="22"/>
          <w:szCs w:val="22"/>
          <w:bdr w:val="none" w:sz="0" w:space="0" w:color="auto" w:frame="1"/>
        </w:rPr>
      </w:pPr>
      <w:r w:rsidRPr="00DD6150">
        <w:rPr>
          <w:rFonts w:ascii="Times New Roman" w:hAnsi="Times New Roman" w:cs="Times New Roman"/>
          <w:b/>
          <w:sz w:val="22"/>
          <w:szCs w:val="22"/>
          <w:u w:val="single" w:color="538135" w:themeColor="accent6" w:themeShade="BF"/>
          <w:bdr w:val="none" w:sz="0" w:space="0" w:color="auto" w:frame="1"/>
        </w:rPr>
        <w:t>Proposal Title:</w:t>
      </w:r>
      <w:r w:rsidRPr="00DD6150">
        <w:rPr>
          <w:rFonts w:ascii="Times New Roman" w:hAnsi="Times New Roman" w:cs="Times New Roman"/>
          <w:b/>
          <w:sz w:val="22"/>
          <w:szCs w:val="22"/>
          <w:bdr w:val="none" w:sz="0" w:space="0" w:color="auto" w:frame="1"/>
        </w:rPr>
        <w:t xml:space="preserve"> </w:t>
      </w:r>
    </w:p>
    <w:p w14:paraId="034D3A2D" w14:textId="249F6CE7" w:rsidR="0023402F" w:rsidRPr="00DD6150" w:rsidRDefault="00BC238C" w:rsidP="00DD6150">
      <w:pPr>
        <w:spacing w:after="0"/>
        <w:rPr>
          <w:rFonts w:ascii="Times New Roman" w:hAnsi="Times New Roman" w:cs="Times New Roman"/>
          <w:b/>
          <w:sz w:val="22"/>
          <w:szCs w:val="22"/>
          <w:bdr w:val="none" w:sz="0" w:space="0" w:color="auto" w:frame="1"/>
        </w:rPr>
      </w:pPr>
      <w:r w:rsidRPr="00DD6150">
        <w:rPr>
          <w:rFonts w:ascii="Times New Roman" w:hAnsi="Times New Roman" w:cs="Times New Roman"/>
          <w:b/>
          <w:sz w:val="22"/>
          <w:szCs w:val="22"/>
          <w:bdr w:val="none" w:sz="0" w:space="0" w:color="auto" w:frame="1"/>
        </w:rPr>
        <w:t>Empowering TCF Alumni through Higher Education and 21st-Century Employability Skills</w:t>
      </w:r>
    </w:p>
    <w:p w14:paraId="44BD70F1" w14:textId="26701B77" w:rsidR="0023402F" w:rsidRPr="00DD6150" w:rsidRDefault="0023402F" w:rsidP="00DD6150">
      <w:pPr>
        <w:spacing w:after="0"/>
        <w:rPr>
          <w:rFonts w:ascii="Times New Roman" w:hAnsi="Times New Roman" w:cs="Times New Roman"/>
          <w:b/>
          <w:sz w:val="22"/>
          <w:szCs w:val="22"/>
          <w:bdr w:val="none" w:sz="0" w:space="0" w:color="auto" w:frame="1"/>
        </w:rPr>
      </w:pPr>
    </w:p>
    <w:p w14:paraId="3AF38035" w14:textId="77777777" w:rsidR="00DD6150" w:rsidRDefault="00DD6150" w:rsidP="00DD6150">
      <w:pPr>
        <w:spacing w:after="0"/>
        <w:rPr>
          <w:rFonts w:ascii="Times New Roman" w:hAnsi="Times New Roman" w:cs="Times New Roman"/>
          <w:b/>
          <w:sz w:val="22"/>
          <w:szCs w:val="22"/>
          <w:bdr w:val="none" w:sz="0" w:space="0" w:color="auto" w:frame="1"/>
        </w:rPr>
      </w:pPr>
      <w:r w:rsidRPr="00DD6150">
        <w:rPr>
          <w:rFonts w:ascii="Times New Roman" w:hAnsi="Times New Roman" w:cs="Times New Roman"/>
          <w:b/>
          <w:sz w:val="22"/>
          <w:szCs w:val="22"/>
          <w:u w:val="single" w:color="538135" w:themeColor="accent6" w:themeShade="BF"/>
          <w:bdr w:val="none" w:sz="0" w:space="0" w:color="auto" w:frame="1"/>
        </w:rPr>
        <w:t>Organization:</w:t>
      </w:r>
      <w:r w:rsidRPr="00DD6150">
        <w:rPr>
          <w:rFonts w:ascii="Times New Roman" w:hAnsi="Times New Roman" w:cs="Times New Roman"/>
          <w:b/>
          <w:sz w:val="22"/>
          <w:szCs w:val="22"/>
          <w:bdr w:val="none" w:sz="0" w:space="0" w:color="auto" w:frame="1"/>
        </w:rPr>
        <w:t xml:space="preserve"> </w:t>
      </w:r>
    </w:p>
    <w:p w14:paraId="2510AF1A" w14:textId="6A257B2E" w:rsidR="0023402F" w:rsidRPr="00DD6150" w:rsidRDefault="0023402F" w:rsidP="00DD6150">
      <w:pPr>
        <w:spacing w:after="0"/>
        <w:rPr>
          <w:rFonts w:ascii="Times New Roman" w:hAnsi="Times New Roman" w:cs="Times New Roman"/>
          <w:b/>
          <w:sz w:val="22"/>
          <w:szCs w:val="22"/>
          <w:bdr w:val="none" w:sz="0" w:space="0" w:color="auto" w:frame="1"/>
        </w:rPr>
      </w:pPr>
      <w:r w:rsidRPr="00DD6150">
        <w:rPr>
          <w:rFonts w:ascii="Times New Roman" w:hAnsi="Times New Roman" w:cs="Times New Roman"/>
          <w:b/>
          <w:sz w:val="22"/>
          <w:szCs w:val="22"/>
          <w:bdr w:val="none" w:sz="0" w:space="0" w:color="auto" w:frame="1"/>
        </w:rPr>
        <w:t>The Citizens Foundation</w:t>
      </w:r>
    </w:p>
    <w:p w14:paraId="0C1A2BED" w14:textId="28A48878" w:rsidR="0023402F" w:rsidRDefault="0023402F" w:rsidP="00DD6150">
      <w:pPr>
        <w:spacing w:after="0" w:line="276" w:lineRule="auto"/>
        <w:rPr>
          <w:rStyle w:val="Hyperlink"/>
          <w:rFonts w:ascii="Times New Roman" w:hAnsi="Times New Roman" w:cs="Times New Roman"/>
          <w:b/>
          <w:sz w:val="22"/>
          <w:szCs w:val="22"/>
          <w:bdr w:val="none" w:sz="0" w:space="0" w:color="auto" w:frame="1"/>
        </w:rPr>
      </w:pPr>
      <w:r w:rsidRPr="00DD6150">
        <w:rPr>
          <w:rFonts w:ascii="Times New Roman" w:hAnsi="Times New Roman" w:cs="Times New Roman"/>
          <w:b/>
          <w:sz w:val="22"/>
          <w:szCs w:val="22"/>
          <w:bdr w:val="none" w:sz="0" w:space="0" w:color="auto" w:frame="1"/>
        </w:rPr>
        <w:t xml:space="preserve">Website: </w:t>
      </w:r>
      <w:hyperlink r:id="rId10" w:history="1">
        <w:r w:rsidRPr="00DD6150">
          <w:rPr>
            <w:rStyle w:val="Hyperlink"/>
            <w:rFonts w:ascii="Times New Roman" w:hAnsi="Times New Roman" w:cs="Times New Roman"/>
            <w:b/>
            <w:sz w:val="22"/>
            <w:szCs w:val="22"/>
            <w:bdr w:val="none" w:sz="0" w:space="0" w:color="auto" w:frame="1"/>
          </w:rPr>
          <w:t>https://www.tcf.org.pk/</w:t>
        </w:r>
      </w:hyperlink>
      <w:r w:rsidRPr="00DD6150">
        <w:rPr>
          <w:rFonts w:ascii="Times New Roman" w:hAnsi="Times New Roman" w:cs="Times New Roman"/>
          <w:b/>
          <w:sz w:val="22"/>
          <w:szCs w:val="22"/>
          <w:bdr w:val="none" w:sz="0" w:space="0" w:color="auto" w:frame="1"/>
        </w:rPr>
        <w:t xml:space="preserve"> E: </w:t>
      </w:r>
      <w:hyperlink r:id="rId11" w:history="1">
        <w:r w:rsidRPr="00DD6150">
          <w:rPr>
            <w:rStyle w:val="Hyperlink"/>
            <w:rFonts w:ascii="Times New Roman" w:hAnsi="Times New Roman" w:cs="Times New Roman"/>
            <w:b/>
            <w:sz w:val="22"/>
            <w:szCs w:val="22"/>
            <w:bdr w:val="none" w:sz="0" w:space="0" w:color="auto" w:frame="1"/>
          </w:rPr>
          <w:t>grants@tcf.org.pk</w:t>
        </w:r>
      </w:hyperlink>
    </w:p>
    <w:p w14:paraId="258847AE" w14:textId="77777777" w:rsidR="00DD6150" w:rsidRPr="00DD6150" w:rsidRDefault="00DD6150" w:rsidP="00DD6150">
      <w:pPr>
        <w:spacing w:after="0" w:line="276" w:lineRule="auto"/>
        <w:rPr>
          <w:rFonts w:ascii="Times New Roman" w:hAnsi="Times New Roman" w:cs="Times New Roman"/>
          <w:b/>
          <w:sz w:val="22"/>
          <w:szCs w:val="22"/>
          <w:bdr w:val="none" w:sz="0" w:space="0" w:color="auto" w:frame="1"/>
        </w:rPr>
      </w:pPr>
      <w:r w:rsidRPr="00DD6150">
        <w:rPr>
          <w:rFonts w:ascii="Times New Roman" w:hAnsi="Times New Roman" w:cs="Times New Roman"/>
          <w:b/>
          <w:sz w:val="22"/>
          <w:szCs w:val="22"/>
          <w:bdr w:val="none" w:sz="0" w:space="0" w:color="auto" w:frame="1"/>
        </w:rPr>
        <w:t xml:space="preserve">The Citizens Foundation | Plot #20, Sector 14, </w:t>
      </w:r>
      <w:proofErr w:type="spellStart"/>
      <w:r w:rsidRPr="00DD6150">
        <w:rPr>
          <w:rFonts w:ascii="Times New Roman" w:hAnsi="Times New Roman" w:cs="Times New Roman"/>
          <w:b/>
          <w:sz w:val="22"/>
          <w:szCs w:val="22"/>
          <w:bdr w:val="none" w:sz="0" w:space="0" w:color="auto" w:frame="1"/>
        </w:rPr>
        <w:t>Korangi</w:t>
      </w:r>
      <w:proofErr w:type="spellEnd"/>
      <w:r w:rsidRPr="00DD6150">
        <w:rPr>
          <w:rFonts w:ascii="Times New Roman" w:hAnsi="Times New Roman" w:cs="Times New Roman"/>
          <w:b/>
          <w:sz w:val="22"/>
          <w:szCs w:val="22"/>
          <w:bdr w:val="none" w:sz="0" w:space="0" w:color="auto" w:frame="1"/>
        </w:rPr>
        <w:t xml:space="preserve"> Industrial Zone, Karachi, Pakistan</w:t>
      </w:r>
    </w:p>
    <w:p w14:paraId="3245613C" w14:textId="77777777" w:rsidR="00DD6150" w:rsidRDefault="00DD6150" w:rsidP="00DD6150">
      <w:pPr>
        <w:spacing w:after="0" w:line="276" w:lineRule="auto"/>
        <w:rPr>
          <w:rFonts w:ascii="Times New Roman" w:hAnsi="Times New Roman" w:cs="Times New Roman"/>
          <w:b/>
          <w:sz w:val="22"/>
          <w:szCs w:val="22"/>
          <w:bdr w:val="none" w:sz="0" w:space="0" w:color="auto" w:frame="1"/>
        </w:rPr>
      </w:pPr>
    </w:p>
    <w:p w14:paraId="46FF3674" w14:textId="77777777" w:rsidR="00DD6150" w:rsidRDefault="0023402F" w:rsidP="00DD6150">
      <w:pPr>
        <w:spacing w:after="0" w:line="276" w:lineRule="auto"/>
        <w:rPr>
          <w:rFonts w:ascii="Times New Roman" w:hAnsi="Times New Roman" w:cs="Times New Roman"/>
          <w:b/>
          <w:sz w:val="22"/>
          <w:szCs w:val="22"/>
          <w:bdr w:val="none" w:sz="0" w:space="0" w:color="auto" w:frame="1"/>
        </w:rPr>
      </w:pPr>
      <w:r w:rsidRPr="00DD6150">
        <w:rPr>
          <w:rFonts w:ascii="Times New Roman" w:hAnsi="Times New Roman" w:cs="Times New Roman"/>
          <w:b/>
          <w:sz w:val="22"/>
          <w:szCs w:val="22"/>
          <w:u w:val="single" w:color="538135" w:themeColor="accent6" w:themeShade="BF"/>
          <w:bdr w:val="none" w:sz="0" w:space="0" w:color="auto" w:frame="1"/>
        </w:rPr>
        <w:t>Contact Person:</w:t>
      </w:r>
      <w:r w:rsidRPr="00DD6150">
        <w:rPr>
          <w:rFonts w:ascii="Times New Roman" w:hAnsi="Times New Roman" w:cs="Times New Roman"/>
          <w:b/>
          <w:sz w:val="22"/>
          <w:szCs w:val="22"/>
          <w:bdr w:val="none" w:sz="0" w:space="0" w:color="auto" w:frame="1"/>
        </w:rPr>
        <w:t xml:space="preserve"> </w:t>
      </w:r>
    </w:p>
    <w:p w14:paraId="6313CE68" w14:textId="3047A12E" w:rsidR="0023402F" w:rsidRPr="00DD6150" w:rsidRDefault="0023402F" w:rsidP="00DD6150">
      <w:pPr>
        <w:spacing w:after="0" w:line="276" w:lineRule="auto"/>
        <w:rPr>
          <w:rStyle w:val="Hyperlink"/>
          <w:rFonts w:ascii="Times New Roman" w:hAnsi="Times New Roman" w:cs="Times New Roman"/>
          <w:b/>
          <w:sz w:val="22"/>
          <w:szCs w:val="22"/>
          <w:bdr w:val="none" w:sz="0" w:space="0" w:color="auto" w:frame="1"/>
        </w:rPr>
      </w:pPr>
      <w:r w:rsidRPr="00DD6150">
        <w:rPr>
          <w:rFonts w:ascii="Times New Roman" w:hAnsi="Times New Roman" w:cs="Times New Roman"/>
          <w:b/>
          <w:sz w:val="22"/>
          <w:szCs w:val="22"/>
          <w:bdr w:val="none" w:sz="0" w:space="0" w:color="auto" w:frame="1"/>
        </w:rPr>
        <w:t>Maheen Mirza, Senior Manager Global Partnerships, E:</w:t>
      </w:r>
      <w:hyperlink r:id="rId12" w:history="1">
        <w:r w:rsidRPr="00DD6150">
          <w:rPr>
            <w:rStyle w:val="Hyperlink"/>
            <w:rFonts w:ascii="Times New Roman" w:hAnsi="Times New Roman" w:cs="Times New Roman"/>
            <w:b/>
            <w:sz w:val="22"/>
            <w:szCs w:val="22"/>
            <w:bdr w:val="none" w:sz="0" w:space="0" w:color="auto" w:frame="1"/>
          </w:rPr>
          <w:t>maheen.mirza@tcf.org.pk</w:t>
        </w:r>
      </w:hyperlink>
    </w:p>
    <w:p w14:paraId="2192B656" w14:textId="2C8BA65B" w:rsidR="00DD6150" w:rsidRPr="00DD6150" w:rsidRDefault="00DD6150" w:rsidP="00DD6150">
      <w:pPr>
        <w:spacing w:after="0" w:line="276" w:lineRule="auto"/>
        <w:rPr>
          <w:rFonts w:ascii="Times New Roman" w:hAnsi="Times New Roman" w:cs="Times New Roman"/>
          <w:b/>
          <w:sz w:val="22"/>
          <w:szCs w:val="22"/>
          <w:bdr w:val="none" w:sz="0" w:space="0" w:color="auto" w:frame="1"/>
        </w:rPr>
      </w:pPr>
    </w:p>
    <w:p w14:paraId="6EEC86D6" w14:textId="77777777" w:rsidR="00DD6150" w:rsidRDefault="00DD6150" w:rsidP="00DD6150">
      <w:pPr>
        <w:spacing w:after="0"/>
        <w:rPr>
          <w:rFonts w:ascii="Times New Roman" w:hAnsi="Times New Roman" w:cs="Times New Roman"/>
          <w:b/>
          <w:sz w:val="22"/>
          <w:szCs w:val="22"/>
          <w:bdr w:val="none" w:sz="0" w:space="0" w:color="auto" w:frame="1"/>
        </w:rPr>
      </w:pPr>
      <w:r w:rsidRPr="00DD6150">
        <w:rPr>
          <w:rFonts w:ascii="Times New Roman" w:hAnsi="Times New Roman" w:cs="Times New Roman"/>
          <w:b/>
          <w:sz w:val="22"/>
          <w:szCs w:val="22"/>
          <w:u w:val="single" w:color="538135" w:themeColor="accent6" w:themeShade="BF"/>
          <w:bdr w:val="none" w:sz="0" w:space="0" w:color="auto" w:frame="1"/>
        </w:rPr>
        <w:t>Submitted to:</w:t>
      </w:r>
      <w:r w:rsidRPr="00DD6150">
        <w:rPr>
          <w:rFonts w:ascii="Times New Roman" w:hAnsi="Times New Roman" w:cs="Times New Roman"/>
          <w:b/>
          <w:sz w:val="22"/>
          <w:szCs w:val="22"/>
          <w:bdr w:val="none" w:sz="0" w:space="0" w:color="auto" w:frame="1"/>
        </w:rPr>
        <w:t xml:space="preserve"> </w:t>
      </w:r>
    </w:p>
    <w:p w14:paraId="2BD9D7F4" w14:textId="5AA2A083" w:rsidR="005D4CE2" w:rsidRDefault="005D4CE2" w:rsidP="00DD6150">
      <w:pPr>
        <w:spacing w:after="0"/>
        <w:rPr>
          <w:rFonts w:ascii="Times New Roman" w:hAnsi="Times New Roman" w:cs="Times New Roman"/>
          <w:b/>
          <w:sz w:val="22"/>
          <w:szCs w:val="22"/>
          <w:bdr w:val="none" w:sz="0" w:space="0" w:color="auto" w:frame="1"/>
        </w:rPr>
      </w:pPr>
      <w:r>
        <w:rPr>
          <w:rFonts w:ascii="Times New Roman" w:hAnsi="Times New Roman" w:cs="Times New Roman"/>
          <w:b/>
          <w:sz w:val="22"/>
          <w:szCs w:val="22"/>
          <w:bdr w:val="none" w:sz="0" w:space="0" w:color="auto" w:frame="1"/>
        </w:rPr>
        <w:t>Name of the Donor</w:t>
      </w:r>
    </w:p>
    <w:p w14:paraId="60C5A5B7" w14:textId="77777777" w:rsidR="00DD6150" w:rsidRDefault="00DD6150" w:rsidP="00DD6150">
      <w:pPr>
        <w:spacing w:after="0"/>
        <w:rPr>
          <w:rFonts w:ascii="Times New Roman" w:hAnsi="Times New Roman" w:cs="Times New Roman"/>
          <w:b/>
          <w:sz w:val="22"/>
          <w:szCs w:val="22"/>
          <w:bdr w:val="none" w:sz="0" w:space="0" w:color="auto" w:frame="1"/>
        </w:rPr>
      </w:pPr>
    </w:p>
    <w:p w14:paraId="23BFFBC4" w14:textId="1B8118C8" w:rsidR="001E0508" w:rsidRPr="00DD6150" w:rsidRDefault="004858C2" w:rsidP="00DD6150">
      <w:pPr>
        <w:spacing w:after="0"/>
        <w:rPr>
          <w:rFonts w:ascii="Times New Roman" w:hAnsi="Times New Roman" w:cs="Times New Roman"/>
          <w:i/>
          <w:sz w:val="22"/>
          <w:szCs w:val="22"/>
          <w:bdr w:val="none" w:sz="0" w:space="0" w:color="auto" w:frame="1"/>
        </w:rPr>
      </w:pPr>
      <w:r>
        <w:rPr>
          <w:rFonts w:ascii="Times New Roman" w:hAnsi="Times New Roman" w:cs="Times New Roman"/>
          <w:i/>
          <w:sz w:val="22"/>
          <w:szCs w:val="22"/>
          <w:bdr w:val="none" w:sz="0" w:space="0" w:color="auto" w:frame="1"/>
        </w:rPr>
        <w:t xml:space="preserve">Date: </w:t>
      </w:r>
    </w:p>
    <w:p w14:paraId="5A9DB1ED" w14:textId="7EEC0610" w:rsidR="001E0508" w:rsidRPr="00B741BA" w:rsidRDefault="001E0508">
      <w:pPr>
        <w:rPr>
          <w:rFonts w:ascii="Times New Roman" w:hAnsi="Times New Roman" w:cs="Times New Roman"/>
          <w:b/>
          <w:sz w:val="20"/>
          <w:szCs w:val="20"/>
        </w:rPr>
      </w:pPr>
    </w:p>
    <w:p w14:paraId="2E0A6F91" w14:textId="1B9913EA" w:rsidR="00730BB4" w:rsidRPr="00B741BA" w:rsidRDefault="001E0508">
      <w:pPr>
        <w:rPr>
          <w:rFonts w:ascii="Times New Roman" w:hAnsi="Times New Roman" w:cs="Times New Roman"/>
          <w:b/>
          <w:sz w:val="20"/>
          <w:szCs w:val="20"/>
        </w:rPr>
      </w:pPr>
      <w:r w:rsidRPr="00B741BA">
        <w:rPr>
          <w:rFonts w:ascii="Times New Roman" w:hAnsi="Times New Roman" w:cs="Times New Roman"/>
          <w:b/>
          <w:sz w:val="20"/>
          <w:szCs w:val="20"/>
        </w:rPr>
        <w:lastRenderedPageBreak/>
        <w:t xml:space="preserve">Context: </w:t>
      </w:r>
    </w:p>
    <w:p w14:paraId="2285B8CF" w14:textId="3095BC4A" w:rsidR="00730BB4" w:rsidRPr="00B741BA" w:rsidRDefault="00730BB4" w:rsidP="00730BB4">
      <w:pPr>
        <w:jc w:val="both"/>
        <w:rPr>
          <w:rFonts w:ascii="Times New Roman" w:hAnsi="Times New Roman" w:cs="Times New Roman"/>
          <w:sz w:val="20"/>
          <w:szCs w:val="20"/>
          <w:bdr w:val="none" w:sz="0" w:space="0" w:color="auto" w:frame="1"/>
        </w:rPr>
      </w:pPr>
      <w:r w:rsidRPr="00B741BA">
        <w:rPr>
          <w:rFonts w:ascii="Times New Roman" w:hAnsi="Times New Roman" w:cs="Times New Roman"/>
          <w:sz w:val="20"/>
          <w:szCs w:val="20"/>
          <w:bdr w:val="none" w:sz="0" w:space="0" w:color="auto" w:frame="1"/>
        </w:rPr>
        <w:t xml:space="preserve">The Citizens Foundation (TCF) is a professionally managed, non-profit organization set up in 1995 by a group of </w:t>
      </w:r>
      <w:r w:rsidR="001E0508" w:rsidRPr="00B741BA">
        <w:rPr>
          <w:rFonts w:ascii="Times New Roman" w:hAnsi="Times New Roman" w:cs="Times New Roman"/>
          <w:sz w:val="20"/>
          <w:szCs w:val="20"/>
          <w:bdr w:val="none" w:sz="0" w:space="0" w:color="auto" w:frame="1"/>
        </w:rPr>
        <w:t>citizens</w:t>
      </w:r>
      <w:r w:rsidRPr="00B741BA">
        <w:rPr>
          <w:rFonts w:ascii="Times New Roman" w:hAnsi="Times New Roman" w:cs="Times New Roman"/>
          <w:sz w:val="20"/>
          <w:szCs w:val="20"/>
          <w:bdr w:val="none" w:sz="0" w:space="0" w:color="auto" w:frame="1"/>
        </w:rPr>
        <w:t xml:space="preserve"> who wanted to bring about positive soc</w:t>
      </w:r>
      <w:r w:rsidR="00E461CA" w:rsidRPr="00B741BA">
        <w:rPr>
          <w:rFonts w:ascii="Times New Roman" w:hAnsi="Times New Roman" w:cs="Times New Roman"/>
          <w:sz w:val="20"/>
          <w:szCs w:val="20"/>
          <w:bdr w:val="none" w:sz="0" w:space="0" w:color="auto" w:frame="1"/>
        </w:rPr>
        <w:t>ial change through education. 28</w:t>
      </w:r>
      <w:r w:rsidRPr="00B741BA">
        <w:rPr>
          <w:rFonts w:ascii="Times New Roman" w:hAnsi="Times New Roman" w:cs="Times New Roman"/>
          <w:sz w:val="20"/>
          <w:szCs w:val="20"/>
          <w:bdr w:val="none" w:sz="0" w:space="0" w:color="auto" w:frame="1"/>
        </w:rPr>
        <w:t xml:space="preserve"> years later, TCF is one of Pakistan’s leading organizations in the field of education for the less privileged. TCF schools end at tenth grade, which is the same as the public </w:t>
      </w:r>
      <w:r w:rsidR="00160846" w:rsidRPr="00B741BA">
        <w:rPr>
          <w:rFonts w:ascii="Times New Roman" w:hAnsi="Times New Roman" w:cs="Times New Roman"/>
          <w:sz w:val="20"/>
          <w:szCs w:val="20"/>
          <w:bdr w:val="none" w:sz="0" w:space="0" w:color="auto" w:frame="1"/>
        </w:rPr>
        <w:t>school</w:t>
      </w:r>
      <w:r w:rsidRPr="00B741BA">
        <w:rPr>
          <w:rFonts w:ascii="Times New Roman" w:hAnsi="Times New Roman" w:cs="Times New Roman"/>
          <w:sz w:val="20"/>
          <w:szCs w:val="20"/>
          <w:bdr w:val="none" w:sz="0" w:space="0" w:color="auto" w:frame="1"/>
        </w:rPr>
        <w:t xml:space="preserve"> system. While a majority of students graduate and try to continue to higher secondary schooling, many TCF alumni drop out in these years and never make it to university. Barriers to staying in school include expensive transportation (because higher secondary schools are fewer in number and farther away), a change in the language of instruction from Urdu to English, and classes not being held regularly in government institutions, resulting in students having to pay for expensive tutoring.  </w:t>
      </w:r>
    </w:p>
    <w:p w14:paraId="6D8C3C1D" w14:textId="22AE5860" w:rsidR="00730BB4" w:rsidRPr="00B741BA" w:rsidRDefault="00730BB4" w:rsidP="00730BB4">
      <w:pPr>
        <w:jc w:val="both"/>
        <w:rPr>
          <w:rFonts w:ascii="Times New Roman" w:hAnsi="Times New Roman" w:cs="Times New Roman"/>
          <w:sz w:val="20"/>
          <w:szCs w:val="20"/>
          <w:bdr w:val="none" w:sz="0" w:space="0" w:color="auto" w:frame="1"/>
        </w:rPr>
      </w:pPr>
      <w:r w:rsidRPr="00B741BA">
        <w:rPr>
          <w:rFonts w:ascii="Times New Roman" w:hAnsi="Times New Roman" w:cs="Times New Roman"/>
          <w:sz w:val="20"/>
          <w:szCs w:val="20"/>
          <w:bdr w:val="none" w:sz="0" w:space="0" w:color="auto" w:frame="1"/>
        </w:rPr>
        <w:t xml:space="preserve">Even when students transition to university, employers find graduates from the country’s top universities lacking in employability skills, such as oral and written communication, critical thinking, teamwork, </w:t>
      </w:r>
      <w:r w:rsidR="002803A0">
        <w:rPr>
          <w:rFonts w:ascii="Times New Roman" w:hAnsi="Times New Roman" w:cs="Times New Roman"/>
          <w:sz w:val="20"/>
          <w:szCs w:val="20"/>
          <w:bdr w:val="none" w:sz="0" w:space="0" w:color="auto" w:frame="1"/>
        </w:rPr>
        <w:t>problem-solving</w:t>
      </w:r>
      <w:r w:rsidRPr="00B741BA">
        <w:rPr>
          <w:rFonts w:ascii="Times New Roman" w:hAnsi="Times New Roman" w:cs="Times New Roman"/>
          <w:sz w:val="20"/>
          <w:szCs w:val="20"/>
          <w:bdr w:val="none" w:sz="0" w:space="0" w:color="auto" w:frame="1"/>
        </w:rPr>
        <w:t>, and digital skills. Most colleges or coaching centers for intermediate education are focused on only covering academic content, ensuring students get the necessary grades to transition to higher education. This makes students ill-equipped as many do not understand</w:t>
      </w:r>
      <w:r w:rsidR="005C626B" w:rsidRPr="00B741BA">
        <w:rPr>
          <w:rFonts w:ascii="Times New Roman" w:hAnsi="Times New Roman" w:cs="Times New Roman"/>
          <w:sz w:val="20"/>
          <w:szCs w:val="20"/>
          <w:bdr w:val="none" w:sz="0" w:space="0" w:color="auto" w:frame="1"/>
        </w:rPr>
        <w:t xml:space="preserve"> the content they are studying. They are </w:t>
      </w:r>
      <w:r w:rsidRPr="00B741BA">
        <w:rPr>
          <w:rFonts w:ascii="Times New Roman" w:hAnsi="Times New Roman" w:cs="Times New Roman"/>
          <w:sz w:val="20"/>
          <w:szCs w:val="20"/>
          <w:bdr w:val="none" w:sz="0" w:space="0" w:color="auto" w:frame="1"/>
        </w:rPr>
        <w:t xml:space="preserve">only learning to pass an exam, and lack basic, essential employability and life skills. </w:t>
      </w:r>
    </w:p>
    <w:p w14:paraId="44DB7EFE" w14:textId="28ECF6DF" w:rsidR="00160846" w:rsidRPr="00B741BA" w:rsidRDefault="00730BB4" w:rsidP="00160846">
      <w:pPr>
        <w:jc w:val="both"/>
        <w:rPr>
          <w:rFonts w:ascii="Times New Roman" w:hAnsi="Times New Roman" w:cs="Times New Roman"/>
          <w:color w:val="000000"/>
          <w:sz w:val="20"/>
          <w:szCs w:val="20"/>
          <w:lang w:eastAsia="en-GB"/>
        </w:rPr>
      </w:pPr>
      <w:r w:rsidRPr="00B741BA">
        <w:rPr>
          <w:rFonts w:ascii="Times New Roman" w:hAnsi="Times New Roman" w:cs="Times New Roman"/>
          <w:color w:val="000000"/>
          <w:sz w:val="20"/>
          <w:szCs w:val="20"/>
          <w:lang w:eastAsia="en-GB"/>
        </w:rPr>
        <w:t xml:space="preserve">TCF established its first college in 2016, in Karachi. The college has been able to fill a critical gap for TCF alumni, ensuring some are able to transition to higher education. </w:t>
      </w:r>
      <w:r w:rsidR="000A2541" w:rsidRPr="00B741BA">
        <w:rPr>
          <w:rFonts w:ascii="Times New Roman" w:hAnsi="Times New Roman" w:cs="Times New Roman"/>
          <w:color w:val="000000"/>
          <w:sz w:val="20"/>
          <w:szCs w:val="20"/>
          <w:lang w:eastAsia="en-GB"/>
        </w:rPr>
        <w:t>The College focuses on providing quality academic instruction augmenting the student experience through IT and research skills, improving English proficiency, career counselling</w:t>
      </w:r>
      <w:r w:rsidR="002803A0">
        <w:rPr>
          <w:rFonts w:ascii="Times New Roman" w:hAnsi="Times New Roman" w:cs="Times New Roman"/>
          <w:color w:val="000000"/>
          <w:sz w:val="20"/>
          <w:szCs w:val="20"/>
          <w:lang w:eastAsia="en-GB"/>
        </w:rPr>
        <w:t>,</w:t>
      </w:r>
      <w:r w:rsidR="000A2541" w:rsidRPr="00B741BA">
        <w:rPr>
          <w:rFonts w:ascii="Times New Roman" w:hAnsi="Times New Roman" w:cs="Times New Roman"/>
          <w:color w:val="000000"/>
          <w:sz w:val="20"/>
          <w:szCs w:val="20"/>
          <w:lang w:eastAsia="en-GB"/>
        </w:rPr>
        <w:t xml:space="preserve"> and personal mentoring sessions.</w:t>
      </w:r>
      <w:r w:rsidR="00E10945">
        <w:rPr>
          <w:rFonts w:ascii="Times New Roman" w:hAnsi="Times New Roman" w:cs="Times New Roman"/>
          <w:color w:val="000000"/>
          <w:sz w:val="20"/>
          <w:szCs w:val="20"/>
          <w:lang w:eastAsia="en-GB"/>
        </w:rPr>
        <w:t xml:space="preserve"> TCF</w:t>
      </w:r>
      <w:r w:rsidR="002803A0">
        <w:rPr>
          <w:rFonts w:ascii="Times New Roman" w:hAnsi="Times New Roman" w:cs="Times New Roman"/>
          <w:color w:val="000000"/>
          <w:sz w:val="20"/>
          <w:szCs w:val="20"/>
          <w:lang w:eastAsia="en-GB"/>
        </w:rPr>
        <w:t xml:space="preserve"> College</w:t>
      </w:r>
      <w:r w:rsidR="00E10945">
        <w:rPr>
          <w:rFonts w:ascii="Times New Roman" w:hAnsi="Times New Roman" w:cs="Times New Roman"/>
          <w:color w:val="000000"/>
          <w:sz w:val="20"/>
          <w:szCs w:val="20"/>
          <w:lang w:eastAsia="en-GB"/>
        </w:rPr>
        <w:t xml:space="preserve"> ranks #4 </w:t>
      </w:r>
      <w:r w:rsidR="002803A0">
        <w:rPr>
          <w:rFonts w:ascii="Times New Roman" w:hAnsi="Times New Roman" w:cs="Times New Roman"/>
          <w:color w:val="000000"/>
          <w:sz w:val="20"/>
          <w:szCs w:val="20"/>
          <w:lang w:eastAsia="en-GB"/>
        </w:rPr>
        <w:t xml:space="preserve">in Karachi based on scores in </w:t>
      </w:r>
      <w:r w:rsidR="002803A0" w:rsidRPr="002803A0">
        <w:rPr>
          <w:rFonts w:ascii="Times New Roman" w:hAnsi="Times New Roman" w:cs="Times New Roman"/>
          <w:color w:val="000000"/>
          <w:sz w:val="20"/>
          <w:szCs w:val="20"/>
          <w:lang w:eastAsia="en-GB"/>
        </w:rPr>
        <w:t>Board of Intermediate Education Karachi</w:t>
      </w:r>
      <w:r w:rsidR="002803A0">
        <w:rPr>
          <w:rFonts w:ascii="Times New Roman" w:hAnsi="Times New Roman" w:cs="Times New Roman"/>
          <w:color w:val="000000"/>
          <w:sz w:val="20"/>
          <w:szCs w:val="20"/>
          <w:lang w:eastAsia="en-GB"/>
        </w:rPr>
        <w:t xml:space="preserve">. </w:t>
      </w:r>
    </w:p>
    <w:p w14:paraId="0F901E10" w14:textId="499CAF4F" w:rsidR="00160846" w:rsidRPr="00B741BA" w:rsidRDefault="00160846" w:rsidP="00730BB4">
      <w:pPr>
        <w:jc w:val="both"/>
        <w:rPr>
          <w:rFonts w:ascii="Times New Roman" w:hAnsi="Times New Roman" w:cs="Times New Roman"/>
          <w:sz w:val="20"/>
          <w:szCs w:val="20"/>
        </w:rPr>
      </w:pPr>
      <w:r w:rsidRPr="00B741BA">
        <w:rPr>
          <w:rFonts w:ascii="Times New Roman" w:hAnsi="Times New Roman" w:cs="Times New Roman"/>
          <w:sz w:val="20"/>
          <w:szCs w:val="20"/>
        </w:rPr>
        <w:t xml:space="preserve">Currently, there are 498 students enrolled in the college of which 277 are enrolled in Intermediate-I and 221 in Intermediate-II with 55% of girls and 45% boys. As a bridging institution for tertiary education, TCF College has improved the number of students transitioning to universities over the years i.e. from 65% in past to 80% in 2022. </w:t>
      </w:r>
      <w:r w:rsidR="00730BB4" w:rsidRPr="00B741BA">
        <w:rPr>
          <w:rFonts w:ascii="Times New Roman" w:hAnsi="Times New Roman" w:cs="Times New Roman"/>
          <w:color w:val="000000"/>
          <w:sz w:val="20"/>
          <w:szCs w:val="20"/>
          <w:lang w:val="en-GB" w:eastAsia="en-GB"/>
        </w:rPr>
        <w:t xml:space="preserve">Since its inception, </w:t>
      </w:r>
      <w:r w:rsidR="00E461CA" w:rsidRPr="00B741BA">
        <w:rPr>
          <w:rFonts w:ascii="Times New Roman" w:hAnsi="Times New Roman" w:cs="Times New Roman"/>
          <w:color w:val="000000"/>
          <w:sz w:val="20"/>
          <w:szCs w:val="20"/>
          <w:lang w:val="en-GB" w:eastAsia="en-GB"/>
        </w:rPr>
        <w:t>over 797</w:t>
      </w:r>
      <w:r w:rsidR="00515869" w:rsidRPr="00B741BA">
        <w:rPr>
          <w:rFonts w:ascii="Times New Roman" w:hAnsi="Times New Roman" w:cs="Times New Roman"/>
          <w:color w:val="000000"/>
          <w:sz w:val="20"/>
          <w:szCs w:val="20"/>
          <w:lang w:val="en-GB" w:eastAsia="en-GB"/>
        </w:rPr>
        <w:t xml:space="preserve"> students have progressed to University education. </w:t>
      </w:r>
      <w:r w:rsidR="00E461CA" w:rsidRPr="00B741BA">
        <w:rPr>
          <w:rFonts w:ascii="Times New Roman" w:hAnsi="Times New Roman" w:cs="Times New Roman"/>
          <w:color w:val="000000"/>
          <w:sz w:val="20"/>
          <w:szCs w:val="20"/>
          <w:lang w:val="en-GB" w:eastAsia="en-GB"/>
        </w:rPr>
        <w:t xml:space="preserve">TCF College </w:t>
      </w:r>
      <w:r w:rsidR="00825522" w:rsidRPr="00B741BA">
        <w:rPr>
          <w:rFonts w:ascii="Times New Roman" w:hAnsi="Times New Roman" w:cs="Times New Roman"/>
          <w:color w:val="000000"/>
          <w:sz w:val="20"/>
          <w:szCs w:val="20"/>
          <w:lang w:val="en-GB" w:eastAsia="en-GB"/>
        </w:rPr>
        <w:t xml:space="preserve">(TCFC) </w:t>
      </w:r>
      <w:r w:rsidR="00730BB4" w:rsidRPr="00B741BA">
        <w:rPr>
          <w:rFonts w:ascii="Times New Roman" w:hAnsi="Times New Roman" w:cs="Times New Roman"/>
          <w:color w:val="000000"/>
          <w:sz w:val="20"/>
          <w:szCs w:val="20"/>
          <w:lang w:val="en-GB" w:eastAsia="en-GB"/>
        </w:rPr>
        <w:t>has seen an 83% transition to te</w:t>
      </w:r>
      <w:r w:rsidR="00515869" w:rsidRPr="00B741BA">
        <w:rPr>
          <w:rFonts w:ascii="Times New Roman" w:hAnsi="Times New Roman" w:cs="Times New Roman"/>
          <w:color w:val="000000"/>
          <w:sz w:val="20"/>
          <w:szCs w:val="20"/>
          <w:lang w:val="en-GB" w:eastAsia="en-GB"/>
        </w:rPr>
        <w:t xml:space="preserve">rtiary admissions year on year. </w:t>
      </w:r>
    </w:p>
    <w:p w14:paraId="225941FD" w14:textId="77777777" w:rsidR="003A24B3" w:rsidRPr="00B741BA" w:rsidRDefault="00D701A6" w:rsidP="00730BB4">
      <w:pPr>
        <w:jc w:val="both"/>
        <w:rPr>
          <w:rFonts w:ascii="Times New Roman" w:hAnsi="Times New Roman" w:cs="Times New Roman"/>
          <w:b/>
          <w:sz w:val="20"/>
          <w:szCs w:val="20"/>
          <w:bdr w:val="none" w:sz="0" w:space="0" w:color="auto" w:frame="1"/>
        </w:rPr>
      </w:pPr>
      <w:r w:rsidRPr="00B741BA">
        <w:rPr>
          <w:rFonts w:ascii="Times New Roman" w:hAnsi="Times New Roman" w:cs="Times New Roman"/>
          <w:b/>
          <w:sz w:val="20"/>
          <w:szCs w:val="20"/>
          <w:bdr w:val="none" w:sz="0" w:space="0" w:color="auto" w:frame="1"/>
        </w:rPr>
        <w:t>About TCF College</w:t>
      </w:r>
    </w:p>
    <w:p w14:paraId="5FAA1898" w14:textId="3F7E5DBF" w:rsidR="00F601E8" w:rsidRPr="00B741BA" w:rsidRDefault="00F601E8" w:rsidP="00730BB4">
      <w:pPr>
        <w:jc w:val="both"/>
        <w:rPr>
          <w:rFonts w:ascii="Times New Roman" w:hAnsi="Times New Roman" w:cs="Times New Roman"/>
          <w:sz w:val="20"/>
          <w:szCs w:val="20"/>
          <w:bdr w:val="none" w:sz="0" w:space="0" w:color="auto" w:frame="1"/>
        </w:rPr>
      </w:pPr>
      <w:r w:rsidRPr="00B741BA">
        <w:rPr>
          <w:rFonts w:ascii="Times New Roman" w:hAnsi="Times New Roman" w:cs="Times New Roman"/>
          <w:sz w:val="20"/>
          <w:szCs w:val="20"/>
          <w:bdr w:val="none" w:sz="0" w:space="0" w:color="auto" w:frame="1"/>
        </w:rPr>
        <w:t>TCF aims for all students enrolled at</w:t>
      </w:r>
      <w:r w:rsidR="00117847" w:rsidRPr="00B741BA">
        <w:rPr>
          <w:rFonts w:ascii="Times New Roman" w:hAnsi="Times New Roman" w:cs="Times New Roman"/>
          <w:sz w:val="20"/>
          <w:szCs w:val="20"/>
          <w:bdr w:val="none" w:sz="0" w:space="0" w:color="auto" w:frame="1"/>
        </w:rPr>
        <w:t xml:space="preserve"> the college to develop strong</w:t>
      </w:r>
      <w:r w:rsidRPr="00B741BA">
        <w:rPr>
          <w:rFonts w:ascii="Times New Roman" w:hAnsi="Times New Roman" w:cs="Times New Roman"/>
          <w:sz w:val="20"/>
          <w:szCs w:val="20"/>
          <w:bdr w:val="none" w:sz="0" w:space="0" w:color="auto" w:frame="1"/>
        </w:rPr>
        <w:t xml:space="preserve"> employability skills in the form of professional communication, interpersonal, </w:t>
      </w:r>
      <w:r w:rsidR="002803A0">
        <w:rPr>
          <w:rFonts w:ascii="Times New Roman" w:hAnsi="Times New Roman" w:cs="Times New Roman"/>
          <w:sz w:val="20"/>
          <w:szCs w:val="20"/>
          <w:bdr w:val="none" w:sz="0" w:space="0" w:color="auto" w:frame="1"/>
        </w:rPr>
        <w:t>problem-solving</w:t>
      </w:r>
      <w:r w:rsidRPr="00B741BA">
        <w:rPr>
          <w:rFonts w:ascii="Times New Roman" w:hAnsi="Times New Roman" w:cs="Times New Roman"/>
          <w:sz w:val="20"/>
          <w:szCs w:val="20"/>
          <w:bdr w:val="none" w:sz="0" w:space="0" w:color="auto" w:frame="1"/>
        </w:rPr>
        <w:t xml:space="preserve">, leadership, entrepreneurship, and digital literacy skills, as well as confidence and global awareness. The College program comprises of 3 distinct </w:t>
      </w:r>
      <w:r w:rsidR="003D6E76" w:rsidRPr="00B741BA">
        <w:rPr>
          <w:rFonts w:ascii="Times New Roman" w:hAnsi="Times New Roman" w:cs="Times New Roman"/>
          <w:sz w:val="20"/>
          <w:szCs w:val="20"/>
          <w:bdr w:val="none" w:sz="0" w:space="0" w:color="auto" w:frame="1"/>
        </w:rPr>
        <w:t xml:space="preserve">specialties. </w:t>
      </w:r>
      <w:r w:rsidRPr="00B741BA">
        <w:rPr>
          <w:rFonts w:ascii="Times New Roman" w:hAnsi="Times New Roman" w:cs="Times New Roman"/>
          <w:sz w:val="20"/>
          <w:szCs w:val="20"/>
          <w:bdr w:val="none" w:sz="0" w:space="0" w:color="auto" w:frame="1"/>
        </w:rPr>
        <w:t xml:space="preserve"> </w:t>
      </w:r>
    </w:p>
    <w:p w14:paraId="55B8ED78" w14:textId="77777777" w:rsidR="00D701A6" w:rsidRPr="00B741BA" w:rsidRDefault="00D701A6" w:rsidP="00F601E8">
      <w:pPr>
        <w:pStyle w:val="ListParagraph"/>
        <w:numPr>
          <w:ilvl w:val="0"/>
          <w:numId w:val="1"/>
        </w:numPr>
        <w:jc w:val="both"/>
        <w:rPr>
          <w:rFonts w:ascii="Times New Roman" w:hAnsi="Times New Roman" w:cs="Times New Roman"/>
          <w:b/>
          <w:sz w:val="20"/>
          <w:szCs w:val="20"/>
          <w:u w:val="single"/>
          <w:bdr w:val="none" w:sz="0" w:space="0" w:color="auto" w:frame="1"/>
        </w:rPr>
      </w:pPr>
      <w:r w:rsidRPr="00B741BA">
        <w:rPr>
          <w:rFonts w:ascii="Times New Roman" w:hAnsi="Times New Roman" w:cs="Times New Roman"/>
          <w:b/>
          <w:sz w:val="20"/>
          <w:szCs w:val="20"/>
          <w:u w:val="single"/>
          <w:bdr w:val="none" w:sz="0" w:space="0" w:color="auto" w:frame="1"/>
        </w:rPr>
        <w:t>Academics</w:t>
      </w:r>
    </w:p>
    <w:p w14:paraId="4776EC03" w14:textId="4439583D" w:rsidR="00D701A6" w:rsidRPr="00B741BA" w:rsidRDefault="003D6E76" w:rsidP="00730BB4">
      <w:pPr>
        <w:jc w:val="both"/>
        <w:rPr>
          <w:rFonts w:ascii="Times New Roman" w:hAnsi="Times New Roman" w:cs="Times New Roman"/>
          <w:sz w:val="20"/>
          <w:szCs w:val="20"/>
          <w:bdr w:val="none" w:sz="0" w:space="0" w:color="auto" w:frame="1"/>
        </w:rPr>
      </w:pPr>
      <w:r w:rsidRPr="00B741BA">
        <w:rPr>
          <w:rFonts w:ascii="Times New Roman" w:hAnsi="Times New Roman" w:cs="Times New Roman"/>
          <w:sz w:val="20"/>
          <w:szCs w:val="20"/>
          <w:bdr w:val="none" w:sz="0" w:space="0" w:color="auto" w:frame="1"/>
        </w:rPr>
        <w:t xml:space="preserve">Offering pre-engineering </w:t>
      </w:r>
      <w:r w:rsidR="00515869" w:rsidRPr="00B741BA">
        <w:rPr>
          <w:rFonts w:ascii="Times New Roman" w:hAnsi="Times New Roman" w:cs="Times New Roman"/>
          <w:sz w:val="20"/>
          <w:szCs w:val="20"/>
          <w:bdr w:val="none" w:sz="0" w:space="0" w:color="auto" w:frame="1"/>
        </w:rPr>
        <w:t>course</w:t>
      </w:r>
      <w:r w:rsidR="00C40D3C" w:rsidRPr="00B741BA">
        <w:rPr>
          <w:rFonts w:ascii="Times New Roman" w:hAnsi="Times New Roman" w:cs="Times New Roman"/>
          <w:sz w:val="20"/>
          <w:szCs w:val="20"/>
          <w:bdr w:val="none" w:sz="0" w:space="0" w:color="auto" w:frame="1"/>
        </w:rPr>
        <w:t>work</w:t>
      </w:r>
      <w:r w:rsidR="00515869" w:rsidRPr="00B741BA">
        <w:rPr>
          <w:rFonts w:ascii="Times New Roman" w:hAnsi="Times New Roman" w:cs="Times New Roman"/>
          <w:sz w:val="20"/>
          <w:szCs w:val="20"/>
          <w:bdr w:val="none" w:sz="0" w:space="0" w:color="auto" w:frame="1"/>
        </w:rPr>
        <w:t xml:space="preserve">, TCF College focuses on providing the best academic experience for students. With a </w:t>
      </w:r>
      <w:proofErr w:type="gramStart"/>
      <w:r w:rsidR="00515869" w:rsidRPr="00B741BA">
        <w:rPr>
          <w:rFonts w:ascii="Times New Roman" w:hAnsi="Times New Roman" w:cs="Times New Roman"/>
          <w:sz w:val="20"/>
          <w:szCs w:val="20"/>
          <w:bdr w:val="none" w:sz="0" w:space="0" w:color="auto" w:frame="1"/>
        </w:rPr>
        <w:t>6 day</w:t>
      </w:r>
      <w:proofErr w:type="gramEnd"/>
      <w:r w:rsidR="00515869" w:rsidRPr="00B741BA">
        <w:rPr>
          <w:rFonts w:ascii="Times New Roman" w:hAnsi="Times New Roman" w:cs="Times New Roman"/>
          <w:sz w:val="20"/>
          <w:szCs w:val="20"/>
          <w:bdr w:val="none" w:sz="0" w:space="0" w:color="auto" w:frame="1"/>
        </w:rPr>
        <w:t xml:space="preserve"> work week, students receive 870 hours of academic instruction during their time at the college, which is nearly double the hours offered by Government Colleges. </w:t>
      </w:r>
      <w:r w:rsidR="0040172C" w:rsidRPr="00B741BA">
        <w:rPr>
          <w:rFonts w:ascii="Times New Roman" w:hAnsi="Times New Roman" w:cs="Times New Roman"/>
          <w:sz w:val="20"/>
          <w:szCs w:val="20"/>
          <w:bdr w:val="none" w:sz="0" w:space="0" w:color="auto" w:frame="1"/>
        </w:rPr>
        <w:t xml:space="preserve">The passing rate at TCFC is 100% with over 70% students scoring “A” grade. The College has a stringent recruitment process, ensuring that teachers with the best pedagogical skills, content knowledge and a commitment towards education and their students are brought on board and retained. </w:t>
      </w:r>
    </w:p>
    <w:p w14:paraId="66FAE6F0" w14:textId="3B891CB2" w:rsidR="00E461CA" w:rsidRPr="00B741BA" w:rsidRDefault="00E461CA" w:rsidP="00730BB4">
      <w:pPr>
        <w:jc w:val="both"/>
        <w:rPr>
          <w:rFonts w:ascii="Times New Roman" w:hAnsi="Times New Roman" w:cs="Times New Roman"/>
          <w:sz w:val="20"/>
          <w:szCs w:val="20"/>
          <w:bdr w:val="none" w:sz="0" w:space="0" w:color="auto" w:frame="1"/>
        </w:rPr>
      </w:pPr>
      <w:r w:rsidRPr="00B741BA">
        <w:rPr>
          <w:rFonts w:ascii="Times New Roman" w:hAnsi="Times New Roman" w:cs="Times New Roman"/>
          <w:sz w:val="20"/>
          <w:szCs w:val="20"/>
          <w:bdr w:val="none" w:sz="0" w:space="0" w:color="auto" w:frame="1"/>
        </w:rPr>
        <w:t xml:space="preserve">This year the TCF College has introduced its pre-medical stream. This decision was made alongside the transition to the federal board curriculum. Offering this stream will open up new pathways for the students who aspire to pursue careers in the medical field. By providing them with the best opportunities, TCF aims to ensure they have a fair chance </w:t>
      </w:r>
      <w:r w:rsidRPr="00B741BA">
        <w:rPr>
          <w:rFonts w:ascii="Times New Roman" w:hAnsi="Times New Roman" w:cs="Times New Roman"/>
          <w:sz w:val="20"/>
          <w:szCs w:val="20"/>
          <w:bdr w:val="none" w:sz="0" w:space="0" w:color="auto" w:frame="1"/>
        </w:rPr>
        <w:lastRenderedPageBreak/>
        <w:t>in the highly competitive applications to medical universities. Currently, the college ha</w:t>
      </w:r>
      <w:r w:rsidR="00160846" w:rsidRPr="00B741BA">
        <w:rPr>
          <w:rFonts w:ascii="Times New Roman" w:hAnsi="Times New Roman" w:cs="Times New Roman"/>
          <w:sz w:val="20"/>
          <w:szCs w:val="20"/>
          <w:bdr w:val="none" w:sz="0" w:space="0" w:color="auto" w:frame="1"/>
        </w:rPr>
        <w:t>s admitted its first batch of 52</w:t>
      </w:r>
      <w:r w:rsidRPr="00B741BA">
        <w:rPr>
          <w:rFonts w:ascii="Times New Roman" w:hAnsi="Times New Roman" w:cs="Times New Roman"/>
          <w:sz w:val="20"/>
          <w:szCs w:val="20"/>
          <w:bdr w:val="none" w:sz="0" w:space="0" w:color="auto" w:frame="1"/>
        </w:rPr>
        <w:t xml:space="preserve"> young, aspiring medical students</w:t>
      </w:r>
      <w:r w:rsidR="00F60E46" w:rsidRPr="00B741BA">
        <w:rPr>
          <w:rFonts w:ascii="Times New Roman" w:hAnsi="Times New Roman" w:cs="Times New Roman"/>
          <w:sz w:val="20"/>
          <w:szCs w:val="20"/>
          <w:bdr w:val="none" w:sz="0" w:space="0" w:color="auto" w:frame="1"/>
        </w:rPr>
        <w:t xml:space="preserve"> that includes 40 girls and 12 boys</w:t>
      </w:r>
      <w:r w:rsidRPr="00B741BA">
        <w:rPr>
          <w:rFonts w:ascii="Times New Roman" w:hAnsi="Times New Roman" w:cs="Times New Roman"/>
          <w:sz w:val="20"/>
          <w:szCs w:val="20"/>
          <w:bdr w:val="none" w:sz="0" w:space="0" w:color="auto" w:frame="1"/>
        </w:rPr>
        <w:t>.</w:t>
      </w:r>
    </w:p>
    <w:p w14:paraId="55247C60" w14:textId="77777777" w:rsidR="0040172C" w:rsidRPr="00B741BA" w:rsidRDefault="0040172C" w:rsidP="0040172C">
      <w:pPr>
        <w:pStyle w:val="ListParagraph"/>
        <w:numPr>
          <w:ilvl w:val="0"/>
          <w:numId w:val="1"/>
        </w:numPr>
        <w:jc w:val="both"/>
        <w:rPr>
          <w:rFonts w:ascii="Times New Roman" w:hAnsi="Times New Roman" w:cs="Times New Roman"/>
          <w:b/>
          <w:sz w:val="20"/>
          <w:szCs w:val="20"/>
          <w:bdr w:val="none" w:sz="0" w:space="0" w:color="auto" w:frame="1"/>
        </w:rPr>
      </w:pPr>
      <w:r w:rsidRPr="00B741BA">
        <w:rPr>
          <w:rFonts w:ascii="Times New Roman" w:hAnsi="Times New Roman" w:cs="Times New Roman"/>
          <w:b/>
          <w:sz w:val="20"/>
          <w:szCs w:val="20"/>
          <w:u w:val="single"/>
          <w:bdr w:val="none" w:sz="0" w:space="0" w:color="auto" w:frame="1"/>
        </w:rPr>
        <w:t>Personal Development</w:t>
      </w:r>
    </w:p>
    <w:p w14:paraId="631ECA98" w14:textId="4CD0F03A" w:rsidR="0040172C" w:rsidRPr="00B741BA" w:rsidRDefault="0040172C" w:rsidP="0040172C">
      <w:pPr>
        <w:jc w:val="both"/>
        <w:rPr>
          <w:rFonts w:ascii="Times New Roman" w:hAnsi="Times New Roman" w:cs="Times New Roman"/>
          <w:sz w:val="20"/>
          <w:szCs w:val="20"/>
          <w:bdr w:val="none" w:sz="0" w:space="0" w:color="auto" w:frame="1"/>
        </w:rPr>
      </w:pPr>
      <w:r w:rsidRPr="00B741BA">
        <w:rPr>
          <w:rFonts w:ascii="Times New Roman" w:hAnsi="Times New Roman" w:cs="Times New Roman"/>
          <w:sz w:val="20"/>
          <w:szCs w:val="20"/>
          <w:bdr w:val="none" w:sz="0" w:space="0" w:color="auto" w:frame="1"/>
        </w:rPr>
        <w:t xml:space="preserve">Students at TCFC mostly belong to modest or impoverished backgrounds with little means for self-development and few experiences outside their inner circle. The College </w:t>
      </w:r>
      <w:r w:rsidR="00F60E46" w:rsidRPr="00B741BA">
        <w:rPr>
          <w:rFonts w:ascii="Times New Roman" w:hAnsi="Times New Roman" w:cs="Times New Roman"/>
          <w:sz w:val="20"/>
          <w:szCs w:val="20"/>
          <w:bdr w:val="none" w:sz="0" w:space="0" w:color="auto" w:frame="1"/>
        </w:rPr>
        <w:t>program develops</w:t>
      </w:r>
      <w:r w:rsidRPr="00B741BA">
        <w:rPr>
          <w:rFonts w:ascii="Times New Roman" w:hAnsi="Times New Roman" w:cs="Times New Roman"/>
          <w:sz w:val="20"/>
          <w:szCs w:val="20"/>
          <w:bdr w:val="none" w:sz="0" w:space="0" w:color="auto" w:frame="1"/>
        </w:rPr>
        <w:t xml:space="preserve"> students to present themselves in the most posi</w:t>
      </w:r>
      <w:r w:rsidR="00E40568" w:rsidRPr="00B741BA">
        <w:rPr>
          <w:rFonts w:ascii="Times New Roman" w:hAnsi="Times New Roman" w:cs="Times New Roman"/>
          <w:sz w:val="20"/>
          <w:szCs w:val="20"/>
          <w:bdr w:val="none" w:sz="0" w:space="0" w:color="auto" w:frame="1"/>
        </w:rPr>
        <w:t xml:space="preserve">tive light and increase their overall confidence. Students are taught research skills, presentation, public speaking and group work. Guest speakers are invited to speak about topics ranging from career choices, to discussing </w:t>
      </w:r>
      <w:r w:rsidR="00CE41C8" w:rsidRPr="00B741BA">
        <w:rPr>
          <w:rFonts w:ascii="Times New Roman" w:hAnsi="Times New Roman" w:cs="Times New Roman"/>
          <w:sz w:val="20"/>
          <w:szCs w:val="20"/>
          <w:bdr w:val="none" w:sz="0" w:space="0" w:color="auto" w:frame="1"/>
        </w:rPr>
        <w:t xml:space="preserve">religion and sociology. </w:t>
      </w:r>
      <w:r w:rsidR="000E62C8" w:rsidRPr="00B741BA">
        <w:rPr>
          <w:rFonts w:ascii="Times New Roman" w:hAnsi="Times New Roman" w:cs="Times New Roman"/>
          <w:sz w:val="20"/>
          <w:szCs w:val="20"/>
          <w:bdr w:val="none" w:sz="0" w:space="0" w:color="auto" w:frame="1"/>
        </w:rPr>
        <w:t xml:space="preserve">University visits are also arranged for students to explore and seek guidance on various degree and scholarship programs. </w:t>
      </w:r>
      <w:r w:rsidR="00CE41C8" w:rsidRPr="00B741BA">
        <w:rPr>
          <w:rFonts w:ascii="Times New Roman" w:hAnsi="Times New Roman" w:cs="Times New Roman"/>
          <w:sz w:val="20"/>
          <w:szCs w:val="20"/>
          <w:bdr w:val="none" w:sz="0" w:space="0" w:color="auto" w:frame="1"/>
        </w:rPr>
        <w:t xml:space="preserve">Students are also provided opportunities to participate in workshops including </w:t>
      </w:r>
      <w:r w:rsidR="00CE41C8" w:rsidRPr="00B741BA">
        <w:rPr>
          <w:rFonts w:ascii="Times New Roman" w:eastAsia="Times New Roman" w:hAnsi="Times New Roman" w:cs="Times New Roman"/>
          <w:sz w:val="20"/>
          <w:szCs w:val="20"/>
          <w:bdr w:val="none" w:sz="0" w:space="0" w:color="auto" w:frame="1"/>
        </w:rPr>
        <w:t xml:space="preserve">theatre, clay and pottery, public speaking, graphic designing, cooking and baking, photography, architecture, robotics, and self-grooming. </w:t>
      </w:r>
      <w:r w:rsidR="00AD5886" w:rsidRPr="00B741BA">
        <w:rPr>
          <w:rFonts w:ascii="Times New Roman" w:eastAsia="Times New Roman" w:hAnsi="Times New Roman" w:cs="Times New Roman"/>
          <w:sz w:val="20"/>
          <w:szCs w:val="20"/>
          <w:bdr w:val="none" w:sz="0" w:space="0" w:color="auto" w:frame="1"/>
        </w:rPr>
        <w:t xml:space="preserve"> Students spend 300 hours in personal development activities during their </w:t>
      </w:r>
      <w:r w:rsidR="00F60E46" w:rsidRPr="00B741BA">
        <w:rPr>
          <w:rFonts w:ascii="Times New Roman" w:eastAsia="Times New Roman" w:hAnsi="Times New Roman" w:cs="Times New Roman"/>
          <w:sz w:val="20"/>
          <w:szCs w:val="20"/>
          <w:bdr w:val="none" w:sz="0" w:space="0" w:color="auto" w:frame="1"/>
        </w:rPr>
        <w:t>2-year</w:t>
      </w:r>
      <w:r w:rsidR="00AD5886" w:rsidRPr="00B741BA">
        <w:rPr>
          <w:rFonts w:ascii="Times New Roman" w:eastAsia="Times New Roman" w:hAnsi="Times New Roman" w:cs="Times New Roman"/>
          <w:sz w:val="20"/>
          <w:szCs w:val="20"/>
          <w:bdr w:val="none" w:sz="0" w:space="0" w:color="auto" w:frame="1"/>
        </w:rPr>
        <w:t xml:space="preserve"> tenure at the college. </w:t>
      </w:r>
    </w:p>
    <w:p w14:paraId="6B651E4E" w14:textId="77777777" w:rsidR="0040172C" w:rsidRPr="00B741BA" w:rsidRDefault="008D63C5" w:rsidP="008D63C5">
      <w:pPr>
        <w:pStyle w:val="ListParagraph"/>
        <w:numPr>
          <w:ilvl w:val="0"/>
          <w:numId w:val="1"/>
        </w:numPr>
        <w:jc w:val="both"/>
        <w:rPr>
          <w:rFonts w:ascii="Times New Roman" w:hAnsi="Times New Roman" w:cs="Times New Roman"/>
          <w:b/>
          <w:sz w:val="20"/>
          <w:szCs w:val="20"/>
          <w:bdr w:val="none" w:sz="0" w:space="0" w:color="auto" w:frame="1"/>
        </w:rPr>
      </w:pPr>
      <w:r w:rsidRPr="00B741BA">
        <w:rPr>
          <w:rFonts w:ascii="Times New Roman" w:hAnsi="Times New Roman" w:cs="Times New Roman"/>
          <w:b/>
          <w:sz w:val="20"/>
          <w:szCs w:val="20"/>
          <w:u w:val="single"/>
          <w:bdr w:val="none" w:sz="0" w:space="0" w:color="auto" w:frame="1"/>
        </w:rPr>
        <w:t xml:space="preserve"> </w:t>
      </w:r>
      <w:r w:rsidR="0040172C" w:rsidRPr="00B741BA">
        <w:rPr>
          <w:rFonts w:ascii="Times New Roman" w:hAnsi="Times New Roman" w:cs="Times New Roman"/>
          <w:b/>
          <w:sz w:val="20"/>
          <w:szCs w:val="20"/>
          <w:u w:val="single"/>
          <w:bdr w:val="none" w:sz="0" w:space="0" w:color="auto" w:frame="1"/>
        </w:rPr>
        <w:t>University Test Preparation</w:t>
      </w:r>
    </w:p>
    <w:p w14:paraId="0056199F" w14:textId="02D5AD19" w:rsidR="00C22196" w:rsidRPr="00B741BA" w:rsidRDefault="00AD5886" w:rsidP="00D1710D">
      <w:pPr>
        <w:jc w:val="both"/>
        <w:rPr>
          <w:rFonts w:ascii="Times New Roman" w:hAnsi="Times New Roman" w:cs="Times New Roman"/>
          <w:sz w:val="20"/>
          <w:szCs w:val="20"/>
        </w:rPr>
      </w:pPr>
      <w:r w:rsidRPr="00B741BA">
        <w:rPr>
          <w:rFonts w:ascii="Times New Roman" w:hAnsi="Times New Roman" w:cs="Times New Roman"/>
          <w:sz w:val="20"/>
          <w:szCs w:val="20"/>
        </w:rPr>
        <w:t xml:space="preserve">Special focus </w:t>
      </w:r>
      <w:r w:rsidR="003316B6" w:rsidRPr="00B741BA">
        <w:rPr>
          <w:rFonts w:ascii="Times New Roman" w:hAnsi="Times New Roman" w:cs="Times New Roman"/>
          <w:sz w:val="20"/>
          <w:szCs w:val="20"/>
        </w:rPr>
        <w:t xml:space="preserve">is given for University </w:t>
      </w:r>
      <w:r w:rsidR="00AF31AC" w:rsidRPr="00B741BA">
        <w:rPr>
          <w:rFonts w:ascii="Times New Roman" w:hAnsi="Times New Roman" w:cs="Times New Roman"/>
          <w:sz w:val="20"/>
          <w:szCs w:val="20"/>
        </w:rPr>
        <w:t>admission</w:t>
      </w:r>
      <w:r w:rsidR="003316B6" w:rsidRPr="00B741BA">
        <w:rPr>
          <w:rFonts w:ascii="Times New Roman" w:hAnsi="Times New Roman" w:cs="Times New Roman"/>
          <w:sz w:val="20"/>
          <w:szCs w:val="20"/>
        </w:rPr>
        <w:t xml:space="preserve"> tests</w:t>
      </w:r>
      <w:r w:rsidR="008D63C5" w:rsidRPr="00B741BA">
        <w:rPr>
          <w:rFonts w:ascii="Times New Roman" w:hAnsi="Times New Roman" w:cs="Times New Roman"/>
          <w:sz w:val="20"/>
          <w:szCs w:val="20"/>
        </w:rPr>
        <w:t>’ preparation</w:t>
      </w:r>
      <w:r w:rsidR="003316B6" w:rsidRPr="00B741BA">
        <w:rPr>
          <w:rFonts w:ascii="Times New Roman" w:hAnsi="Times New Roman" w:cs="Times New Roman"/>
          <w:sz w:val="20"/>
          <w:szCs w:val="20"/>
        </w:rPr>
        <w:t>. 500 hours are dedicated to students learning how to write their resumes</w:t>
      </w:r>
      <w:r w:rsidR="008D63C5" w:rsidRPr="00B741BA">
        <w:rPr>
          <w:rFonts w:ascii="Times New Roman" w:hAnsi="Times New Roman" w:cs="Times New Roman"/>
          <w:sz w:val="20"/>
          <w:szCs w:val="20"/>
        </w:rPr>
        <w:t xml:space="preserve"> and application letters</w:t>
      </w:r>
      <w:r w:rsidR="003316B6" w:rsidRPr="00B741BA">
        <w:rPr>
          <w:rFonts w:ascii="Times New Roman" w:hAnsi="Times New Roman" w:cs="Times New Roman"/>
          <w:sz w:val="20"/>
          <w:szCs w:val="20"/>
        </w:rPr>
        <w:t xml:space="preserve">, </w:t>
      </w:r>
      <w:r w:rsidR="008D63C5" w:rsidRPr="00B741BA">
        <w:rPr>
          <w:rFonts w:ascii="Times New Roman" w:hAnsi="Times New Roman" w:cs="Times New Roman"/>
          <w:sz w:val="20"/>
          <w:szCs w:val="20"/>
        </w:rPr>
        <w:t xml:space="preserve">improve their spoken and written English and </w:t>
      </w:r>
      <w:r w:rsidR="003316B6" w:rsidRPr="00B741BA">
        <w:rPr>
          <w:rFonts w:ascii="Times New Roman" w:hAnsi="Times New Roman" w:cs="Times New Roman"/>
          <w:sz w:val="20"/>
          <w:szCs w:val="20"/>
        </w:rPr>
        <w:t>attempt various tests including SATs</w:t>
      </w:r>
      <w:r w:rsidR="008D63C5" w:rsidRPr="00B741BA">
        <w:rPr>
          <w:rFonts w:ascii="Times New Roman" w:hAnsi="Times New Roman" w:cs="Times New Roman"/>
          <w:sz w:val="20"/>
          <w:szCs w:val="20"/>
        </w:rPr>
        <w:t xml:space="preserve">. This is double the time spent on test preparation compared to competitive test preparation centers. </w:t>
      </w:r>
    </w:p>
    <w:p w14:paraId="7C952AF8" w14:textId="45446089" w:rsidR="00B46B9D" w:rsidRPr="00B741BA" w:rsidRDefault="00F60E46" w:rsidP="008D63C5">
      <w:pPr>
        <w:jc w:val="both"/>
        <w:rPr>
          <w:rFonts w:ascii="Times New Roman" w:hAnsi="Times New Roman" w:cs="Times New Roman"/>
          <w:sz w:val="20"/>
          <w:szCs w:val="20"/>
        </w:rPr>
      </w:pPr>
      <w:r w:rsidRPr="00B741BA">
        <w:rPr>
          <w:rFonts w:ascii="Times New Roman" w:hAnsi="Times New Roman" w:cs="Times New Roman"/>
          <w:sz w:val="20"/>
          <w:szCs w:val="20"/>
        </w:rPr>
        <w:t>Additionally,</w:t>
      </w:r>
      <w:r w:rsidR="008D63C5" w:rsidRPr="00B741BA">
        <w:rPr>
          <w:rFonts w:ascii="Times New Roman" w:hAnsi="Times New Roman" w:cs="Times New Roman"/>
          <w:sz w:val="20"/>
          <w:szCs w:val="20"/>
        </w:rPr>
        <w:t xml:space="preserve"> a new </w:t>
      </w:r>
      <w:proofErr w:type="spellStart"/>
      <w:r w:rsidR="008D63C5" w:rsidRPr="00B741BA">
        <w:rPr>
          <w:rFonts w:ascii="Times New Roman" w:hAnsi="Times New Roman" w:cs="Times New Roman"/>
          <w:sz w:val="20"/>
          <w:szCs w:val="20"/>
        </w:rPr>
        <w:t>programme</w:t>
      </w:r>
      <w:proofErr w:type="spellEnd"/>
      <w:r w:rsidR="008D63C5" w:rsidRPr="00B741BA">
        <w:rPr>
          <w:rFonts w:ascii="Times New Roman" w:hAnsi="Times New Roman" w:cs="Times New Roman"/>
          <w:sz w:val="20"/>
          <w:szCs w:val="20"/>
        </w:rPr>
        <w:t xml:space="preserve"> currently titled “2+1” has been introduced to support 5 students graduating from the college. These students presented great potential during their 2 years at the college but due to circumstances, were unable to receive admissions to the best Universities in Pakistan. With additional grooming and coaching, the College team anticipates that these students will be able to secure positions in the best Universities in the next year. Students are kept engaged as Teaching Assistants and Student leaders during this “Development Year” and are paid for this position. This ensures continuing suppor</w:t>
      </w:r>
      <w:r w:rsidR="00221B89" w:rsidRPr="00B741BA">
        <w:rPr>
          <w:rFonts w:ascii="Times New Roman" w:hAnsi="Times New Roman" w:cs="Times New Roman"/>
          <w:sz w:val="20"/>
          <w:szCs w:val="20"/>
        </w:rPr>
        <w:t>t for students’ education from p</w:t>
      </w:r>
      <w:r w:rsidR="008D63C5" w:rsidRPr="00B741BA">
        <w:rPr>
          <w:rFonts w:ascii="Times New Roman" w:hAnsi="Times New Roman" w:cs="Times New Roman"/>
          <w:sz w:val="20"/>
          <w:szCs w:val="20"/>
        </w:rPr>
        <w:t>arents who are eager to see their children become earning members of the household due to strained financial capacities.</w:t>
      </w:r>
    </w:p>
    <w:p w14:paraId="06326301" w14:textId="575AFB39" w:rsidR="00B46B9D" w:rsidRPr="00B741BA" w:rsidRDefault="00B46B9D" w:rsidP="00B46B9D">
      <w:pPr>
        <w:jc w:val="both"/>
        <w:rPr>
          <w:rFonts w:ascii="Times New Roman" w:hAnsi="Times New Roman" w:cs="Times New Roman"/>
          <w:sz w:val="20"/>
          <w:szCs w:val="20"/>
        </w:rPr>
      </w:pPr>
      <w:r w:rsidRPr="00B741BA">
        <w:rPr>
          <w:rFonts w:ascii="Times New Roman" w:hAnsi="Times New Roman" w:cs="Times New Roman"/>
          <w:sz w:val="20"/>
          <w:szCs w:val="20"/>
        </w:rPr>
        <w:t xml:space="preserve">TCF College has been able to maintain a higher ratio of girls enrolled at the college because </w:t>
      </w:r>
      <w:r w:rsidR="00300434" w:rsidRPr="00B741BA">
        <w:rPr>
          <w:rFonts w:ascii="Times New Roman" w:hAnsi="Times New Roman" w:cs="Times New Roman"/>
          <w:sz w:val="20"/>
          <w:szCs w:val="20"/>
        </w:rPr>
        <w:t>of its</w:t>
      </w:r>
      <w:r w:rsidRPr="00B741BA">
        <w:rPr>
          <w:rFonts w:ascii="Times New Roman" w:hAnsi="Times New Roman" w:cs="Times New Roman"/>
          <w:sz w:val="20"/>
          <w:szCs w:val="20"/>
        </w:rPr>
        <w:t xml:space="preserve"> transport</w:t>
      </w:r>
      <w:r w:rsidR="00300434" w:rsidRPr="00B741BA">
        <w:rPr>
          <w:rFonts w:ascii="Times New Roman" w:hAnsi="Times New Roman" w:cs="Times New Roman"/>
          <w:sz w:val="20"/>
          <w:szCs w:val="20"/>
        </w:rPr>
        <w:t xml:space="preserve"> facility</w:t>
      </w:r>
      <w:r w:rsidRPr="00B741BA">
        <w:rPr>
          <w:rFonts w:ascii="Times New Roman" w:hAnsi="Times New Roman" w:cs="Times New Roman"/>
          <w:sz w:val="20"/>
          <w:szCs w:val="20"/>
        </w:rPr>
        <w:t>. Given the rise in inflation and fuel costs, providing transportation to students that come from all parts of Karachi ensures attendance and enrollment as these students come from underprivileged backgrounds and cannot afford this recurrent cost.</w:t>
      </w:r>
    </w:p>
    <w:p w14:paraId="5864A288" w14:textId="30B801D3" w:rsidR="00E27CE3" w:rsidRPr="00B741BA" w:rsidRDefault="00E27CE3" w:rsidP="00E27CE3">
      <w:pPr>
        <w:jc w:val="both"/>
        <w:rPr>
          <w:rFonts w:ascii="Times New Roman" w:hAnsi="Times New Roman" w:cs="Times New Roman"/>
          <w:sz w:val="20"/>
          <w:szCs w:val="20"/>
        </w:rPr>
      </w:pPr>
      <w:r w:rsidRPr="00B741BA">
        <w:rPr>
          <w:rFonts w:ascii="Times New Roman" w:hAnsi="Times New Roman" w:cs="Times New Roman"/>
          <w:sz w:val="20"/>
          <w:szCs w:val="20"/>
        </w:rPr>
        <w:t xml:space="preserve">Students start applying to Universities starting from January every year. </w:t>
      </w:r>
      <w:r w:rsidR="00590D2E" w:rsidRPr="00B741BA">
        <w:rPr>
          <w:rFonts w:ascii="Times New Roman" w:hAnsi="Times New Roman" w:cs="Times New Roman"/>
          <w:sz w:val="20"/>
          <w:szCs w:val="20"/>
        </w:rPr>
        <w:t>155+</w:t>
      </w:r>
      <w:r w:rsidR="00F5310C" w:rsidRPr="00B741BA">
        <w:rPr>
          <w:rFonts w:ascii="Times New Roman" w:hAnsi="Times New Roman" w:cs="Times New Roman"/>
          <w:sz w:val="20"/>
          <w:szCs w:val="20"/>
        </w:rPr>
        <w:t xml:space="preserve"> students from the 2021-22</w:t>
      </w:r>
      <w:r w:rsidRPr="00B741BA">
        <w:rPr>
          <w:rFonts w:ascii="Times New Roman" w:hAnsi="Times New Roman" w:cs="Times New Roman"/>
          <w:sz w:val="20"/>
          <w:szCs w:val="20"/>
        </w:rPr>
        <w:t xml:space="preserve"> cohort obtained admissions in prestigious universities </w:t>
      </w:r>
      <w:r w:rsidR="00F5310C" w:rsidRPr="00B741BA">
        <w:rPr>
          <w:rFonts w:ascii="Times New Roman" w:hAnsi="Times New Roman" w:cs="Times New Roman"/>
          <w:sz w:val="20"/>
          <w:szCs w:val="20"/>
        </w:rPr>
        <w:t>across</w:t>
      </w:r>
      <w:r w:rsidRPr="00B741BA">
        <w:rPr>
          <w:rFonts w:ascii="Times New Roman" w:hAnsi="Times New Roman" w:cs="Times New Roman"/>
          <w:sz w:val="20"/>
          <w:szCs w:val="20"/>
        </w:rPr>
        <w:t xml:space="preserve"> Pakistan.</w:t>
      </w:r>
      <w:r w:rsidR="00F5310C" w:rsidRPr="00B741BA">
        <w:rPr>
          <w:rFonts w:ascii="Times New Roman" w:hAnsi="Times New Roman" w:cs="Times New Roman"/>
          <w:sz w:val="20"/>
          <w:szCs w:val="20"/>
        </w:rPr>
        <w:t xml:space="preserve"> From the 2022-23</w:t>
      </w:r>
      <w:r w:rsidR="00F54916" w:rsidRPr="00B741BA">
        <w:rPr>
          <w:rFonts w:ascii="Times New Roman" w:hAnsi="Times New Roman" w:cs="Times New Roman"/>
          <w:sz w:val="20"/>
          <w:szCs w:val="20"/>
        </w:rPr>
        <w:t xml:space="preserve"> batch</w:t>
      </w:r>
      <w:r w:rsidR="00F5310C" w:rsidRPr="00B741BA">
        <w:rPr>
          <w:rFonts w:ascii="Times New Roman" w:hAnsi="Times New Roman" w:cs="Times New Roman"/>
          <w:sz w:val="20"/>
          <w:szCs w:val="20"/>
        </w:rPr>
        <w:t xml:space="preserve">, </w:t>
      </w:r>
      <w:r w:rsidR="000969F6" w:rsidRPr="00B741BA">
        <w:rPr>
          <w:rFonts w:ascii="Times New Roman" w:hAnsi="Times New Roman" w:cs="Times New Roman"/>
          <w:sz w:val="20"/>
          <w:szCs w:val="20"/>
        </w:rPr>
        <w:t xml:space="preserve">the </w:t>
      </w:r>
      <w:r w:rsidR="00590D2E" w:rsidRPr="00B741BA">
        <w:rPr>
          <w:rFonts w:ascii="Times New Roman" w:hAnsi="Times New Roman" w:cs="Times New Roman"/>
          <w:sz w:val="20"/>
          <w:szCs w:val="20"/>
        </w:rPr>
        <w:t>admissions</w:t>
      </w:r>
      <w:r w:rsidR="00F5310C" w:rsidRPr="00B741BA">
        <w:rPr>
          <w:rFonts w:ascii="Times New Roman" w:hAnsi="Times New Roman" w:cs="Times New Roman"/>
          <w:sz w:val="20"/>
          <w:szCs w:val="20"/>
        </w:rPr>
        <w:t xml:space="preserve"> process </w:t>
      </w:r>
      <w:r w:rsidR="00F54916" w:rsidRPr="00B741BA">
        <w:rPr>
          <w:rFonts w:ascii="Times New Roman" w:hAnsi="Times New Roman" w:cs="Times New Roman"/>
          <w:sz w:val="20"/>
          <w:szCs w:val="20"/>
        </w:rPr>
        <w:t>is currently underway</w:t>
      </w:r>
      <w:r w:rsidR="00F5310C" w:rsidRPr="00B741BA">
        <w:rPr>
          <w:rFonts w:ascii="Times New Roman" w:hAnsi="Times New Roman" w:cs="Times New Roman"/>
          <w:sz w:val="20"/>
          <w:szCs w:val="20"/>
        </w:rPr>
        <w:t>.</w:t>
      </w:r>
    </w:p>
    <w:p w14:paraId="1C63A65B" w14:textId="77777777" w:rsidR="00DD6150" w:rsidRDefault="00DD6150" w:rsidP="00080977">
      <w:pPr>
        <w:jc w:val="both"/>
        <w:rPr>
          <w:rFonts w:ascii="Times New Roman" w:hAnsi="Times New Roman" w:cs="Times New Roman"/>
          <w:b/>
          <w:sz w:val="20"/>
          <w:szCs w:val="20"/>
        </w:rPr>
      </w:pPr>
    </w:p>
    <w:p w14:paraId="6B32390F" w14:textId="77777777" w:rsidR="00DD6150" w:rsidRDefault="00DD6150" w:rsidP="00080977">
      <w:pPr>
        <w:jc w:val="both"/>
        <w:rPr>
          <w:rFonts w:ascii="Times New Roman" w:hAnsi="Times New Roman" w:cs="Times New Roman"/>
          <w:b/>
          <w:sz w:val="20"/>
          <w:szCs w:val="20"/>
        </w:rPr>
      </w:pPr>
    </w:p>
    <w:p w14:paraId="5CA53082" w14:textId="77777777" w:rsidR="00DD6150" w:rsidRDefault="00DD6150" w:rsidP="00080977">
      <w:pPr>
        <w:jc w:val="both"/>
        <w:rPr>
          <w:rFonts w:ascii="Times New Roman" w:hAnsi="Times New Roman" w:cs="Times New Roman"/>
          <w:b/>
          <w:sz w:val="20"/>
          <w:szCs w:val="20"/>
        </w:rPr>
      </w:pPr>
    </w:p>
    <w:p w14:paraId="04D471D7" w14:textId="77777777" w:rsidR="00DD6150" w:rsidRDefault="00DD6150" w:rsidP="00080977">
      <w:pPr>
        <w:jc w:val="both"/>
        <w:rPr>
          <w:rFonts w:ascii="Times New Roman" w:hAnsi="Times New Roman" w:cs="Times New Roman"/>
          <w:b/>
          <w:sz w:val="20"/>
          <w:szCs w:val="20"/>
        </w:rPr>
      </w:pPr>
    </w:p>
    <w:p w14:paraId="5F4054C7" w14:textId="77777777" w:rsidR="00DD6150" w:rsidRDefault="00DD6150" w:rsidP="00080977">
      <w:pPr>
        <w:jc w:val="both"/>
        <w:rPr>
          <w:rFonts w:ascii="Times New Roman" w:hAnsi="Times New Roman" w:cs="Times New Roman"/>
          <w:b/>
          <w:sz w:val="20"/>
          <w:szCs w:val="20"/>
        </w:rPr>
      </w:pPr>
    </w:p>
    <w:p w14:paraId="2431729D" w14:textId="77777777" w:rsidR="00DD6150" w:rsidRDefault="00DD6150" w:rsidP="00080977">
      <w:pPr>
        <w:jc w:val="both"/>
        <w:rPr>
          <w:rFonts w:ascii="Times New Roman" w:hAnsi="Times New Roman" w:cs="Times New Roman"/>
          <w:b/>
          <w:sz w:val="20"/>
          <w:szCs w:val="20"/>
        </w:rPr>
      </w:pPr>
    </w:p>
    <w:p w14:paraId="387FEF09" w14:textId="77777777" w:rsidR="00DD6150" w:rsidRDefault="00DD6150" w:rsidP="00080977">
      <w:pPr>
        <w:jc w:val="both"/>
        <w:rPr>
          <w:rFonts w:ascii="Times New Roman" w:hAnsi="Times New Roman" w:cs="Times New Roman"/>
          <w:b/>
          <w:sz w:val="20"/>
          <w:szCs w:val="20"/>
        </w:rPr>
      </w:pPr>
    </w:p>
    <w:p w14:paraId="22680A7C" w14:textId="6017EA88" w:rsidR="00080977" w:rsidRPr="00B741BA" w:rsidRDefault="00080977" w:rsidP="00080977">
      <w:pPr>
        <w:jc w:val="both"/>
        <w:rPr>
          <w:rFonts w:ascii="Times New Roman" w:hAnsi="Times New Roman" w:cs="Times New Roman"/>
          <w:b/>
          <w:sz w:val="20"/>
          <w:szCs w:val="20"/>
        </w:rPr>
      </w:pPr>
      <w:r w:rsidRPr="00B741BA">
        <w:rPr>
          <w:rFonts w:ascii="Times New Roman" w:hAnsi="Times New Roman" w:cs="Times New Roman"/>
          <w:b/>
          <w:sz w:val="20"/>
          <w:szCs w:val="20"/>
        </w:rPr>
        <w:lastRenderedPageBreak/>
        <w:t>TCF College Calendar Activities:</w:t>
      </w:r>
    </w:p>
    <w:p w14:paraId="604274E6" w14:textId="3D19C18A" w:rsidR="00080977" w:rsidRPr="00B741BA" w:rsidRDefault="00DD6150" w:rsidP="00080977">
      <w:pPr>
        <w:jc w:val="both"/>
        <w:rPr>
          <w:rFonts w:ascii="Times New Roman" w:hAnsi="Times New Roman" w:cs="Times New Roman"/>
          <w:sz w:val="20"/>
          <w:szCs w:val="20"/>
        </w:rPr>
      </w:pPr>
      <w:r w:rsidRPr="00B741BA">
        <w:rPr>
          <w:rFonts w:ascii="Times New Roman" w:hAnsi="Times New Roman" w:cs="Times New Roman"/>
          <w:noProof/>
          <w:sz w:val="20"/>
          <w:szCs w:val="20"/>
        </w:rPr>
        <w:drawing>
          <wp:anchor distT="0" distB="0" distL="114300" distR="114300" simplePos="0" relativeHeight="251659264" behindDoc="0" locked="0" layoutInCell="1" allowOverlap="1" wp14:anchorId="32B02384" wp14:editId="1AA95A15">
            <wp:simplePos x="0" y="0"/>
            <wp:positionH relativeFrom="margin">
              <wp:posOffset>3444240</wp:posOffset>
            </wp:positionH>
            <wp:positionV relativeFrom="paragraph">
              <wp:posOffset>13335</wp:posOffset>
            </wp:positionV>
            <wp:extent cx="2491740" cy="2197735"/>
            <wp:effectExtent l="19050" t="19050" r="22860" b="1206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9597339_478608234283678_2905412303030907219_n.jpg"/>
                    <pic:cNvPicPr/>
                  </pic:nvPicPr>
                  <pic:blipFill rotWithShape="1">
                    <a:blip r:embed="rId13">
                      <a:extLst>
                        <a:ext uri="{28A0092B-C50C-407E-A947-70E740481C1C}">
                          <a14:useLocalDpi xmlns:a14="http://schemas.microsoft.com/office/drawing/2010/main" val="0"/>
                        </a:ext>
                      </a:extLst>
                    </a:blip>
                    <a:srcRect l="40513" t="41125" r="33666" b="32894"/>
                    <a:stretch/>
                  </pic:blipFill>
                  <pic:spPr bwMode="auto">
                    <a:xfrm>
                      <a:off x="0" y="0"/>
                      <a:ext cx="2491740" cy="2197735"/>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41BA" w:rsidRPr="00B741BA">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1FFAA8E" wp14:editId="6C581B55">
                <wp:simplePos x="0" y="0"/>
                <wp:positionH relativeFrom="margin">
                  <wp:align>right</wp:align>
                </wp:positionH>
                <wp:positionV relativeFrom="paragraph">
                  <wp:posOffset>2209165</wp:posOffset>
                </wp:positionV>
                <wp:extent cx="2484120" cy="411480"/>
                <wp:effectExtent l="0" t="0" r="11430" b="26670"/>
                <wp:wrapSquare wrapText="bothSides"/>
                <wp:docPr id="8" name="Text Box 8"/>
                <wp:cNvGraphicFramePr/>
                <a:graphic xmlns:a="http://schemas.openxmlformats.org/drawingml/2006/main">
                  <a:graphicData uri="http://schemas.microsoft.com/office/word/2010/wordprocessingShape">
                    <wps:wsp>
                      <wps:cNvSpPr txBox="1"/>
                      <wps:spPr>
                        <a:xfrm>
                          <a:off x="0" y="0"/>
                          <a:ext cx="2484120" cy="411480"/>
                        </a:xfrm>
                        <a:prstGeom prst="rect">
                          <a:avLst/>
                        </a:prstGeom>
                        <a:solidFill>
                          <a:schemeClr val="accent4">
                            <a:lumMod val="60000"/>
                            <a:lumOff val="40000"/>
                          </a:schemeClr>
                        </a:solidFill>
                        <a:ln>
                          <a:solidFill>
                            <a:schemeClr val="tx1"/>
                          </a:solidFill>
                        </a:ln>
                      </wps:spPr>
                      <wps:txbx>
                        <w:txbxContent>
                          <w:p w14:paraId="643045F5" w14:textId="77777777" w:rsidR="00080977" w:rsidRPr="00DD6150" w:rsidRDefault="00080977" w:rsidP="00080977">
                            <w:pPr>
                              <w:pStyle w:val="Caption"/>
                              <w:jc w:val="both"/>
                              <w:rPr>
                                <w:rFonts w:ascii="Times New Roman" w:hAnsi="Times New Roman" w:cs="Times New Roman"/>
                                <w:b w:val="0"/>
                                <w:i/>
                                <w:noProof/>
                                <w:color w:val="000000" w:themeColor="text1"/>
                                <w:sz w:val="18"/>
                                <w:szCs w:val="18"/>
                              </w:rPr>
                            </w:pPr>
                            <w:r w:rsidRPr="00DD6150">
                              <w:rPr>
                                <w:rFonts w:ascii="Times New Roman" w:hAnsi="Times New Roman" w:cs="Times New Roman"/>
                                <w:i/>
                                <w:color w:val="000000" w:themeColor="text1"/>
                                <w:sz w:val="18"/>
                                <w:szCs w:val="18"/>
                              </w:rPr>
                              <w:t>At TCF College, students are provided a holistic learning environment that contributes in their cognitive development.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FAA8E" id="_x0000_t202" coordsize="21600,21600" o:spt="202" path="m,l,21600r21600,l21600,xe">
                <v:stroke joinstyle="miter"/>
                <v:path gradientshapeok="t" o:connecttype="rect"/>
              </v:shapetype>
              <v:shape id="Text Box 8" o:spid="_x0000_s1026" type="#_x0000_t202" style="position:absolute;left:0;text-align:left;margin-left:144.4pt;margin-top:173.95pt;width:195.6pt;height:32.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" fillcolor="#ffd966 [1943]" strokecolor="black [3213]">
                <v:textbox inset="0,0,0,0">
                  <w:txbxContent>
                    <w:p w14:paraId="643045F5" w14:textId="77777777" w:rsidR="00080977" w:rsidRPr="00DD6150" w:rsidRDefault="00080977" w:rsidP="00080977">
                      <w:pPr>
                        <w:pStyle w:val="Caption"/>
                        <w:jc w:val="both"/>
                        <w:rPr>
                          <w:rFonts w:ascii="Times New Roman" w:hAnsi="Times New Roman" w:cs="Times New Roman"/>
                          <w:b w:val="0"/>
                          <w:i/>
                          <w:noProof/>
                          <w:color w:val="000000" w:themeColor="text1"/>
                          <w:sz w:val="18"/>
                          <w:szCs w:val="18"/>
                        </w:rPr>
                      </w:pPr>
                      <w:r w:rsidRPr="00DD6150">
                        <w:rPr>
                          <w:rFonts w:ascii="Times New Roman" w:hAnsi="Times New Roman" w:cs="Times New Roman"/>
                          <w:i/>
                          <w:color w:val="000000" w:themeColor="text1"/>
                          <w:sz w:val="18"/>
                          <w:szCs w:val="18"/>
                        </w:rPr>
                        <w:t>At TCF College, students are provided a holistic learning environment that contributes in their cognitive development.</w:t>
                      </w:r>
                    </w:p>
                  </w:txbxContent>
                </v:textbox>
                <w10:wrap type="square" anchorx="margin"/>
              </v:shape>
            </w:pict>
          </mc:Fallback>
        </mc:AlternateContent>
      </w:r>
      <w:r w:rsidR="00080977" w:rsidRPr="00B741BA">
        <w:rPr>
          <w:rFonts w:ascii="Times New Roman" w:hAnsi="Times New Roman" w:cs="Times New Roman"/>
          <w:sz w:val="20"/>
          <w:szCs w:val="20"/>
        </w:rPr>
        <w:t xml:space="preserve"> Every year the college invites TCF students for the annual admissions in December. The college conducts a vigorous process to ensure merit-based admissions</w:t>
      </w:r>
      <w:r w:rsidR="00B741BA" w:rsidRPr="00B741BA">
        <w:rPr>
          <w:rFonts w:ascii="Times New Roman" w:hAnsi="Times New Roman" w:cs="Times New Roman"/>
          <w:sz w:val="20"/>
          <w:szCs w:val="20"/>
        </w:rPr>
        <w:t>;</w:t>
      </w:r>
      <w:r w:rsidR="00080977" w:rsidRPr="00B741BA">
        <w:rPr>
          <w:rFonts w:ascii="Times New Roman" w:hAnsi="Times New Roman" w:cs="Times New Roman"/>
          <w:sz w:val="20"/>
          <w:szCs w:val="20"/>
        </w:rPr>
        <w:t xml:space="preserve"> highly transparent, all-inclusive, and merit-based without any gender preference/quota</w:t>
      </w:r>
      <w:r w:rsidR="00B741BA" w:rsidRPr="00B741BA">
        <w:rPr>
          <w:rFonts w:ascii="Times New Roman" w:hAnsi="Times New Roman" w:cs="Times New Roman"/>
          <w:sz w:val="20"/>
          <w:szCs w:val="20"/>
        </w:rPr>
        <w:t xml:space="preserve">. </w:t>
      </w:r>
      <w:r w:rsidR="00080977" w:rsidRPr="00B741BA">
        <w:rPr>
          <w:rFonts w:ascii="Times New Roman" w:hAnsi="Times New Roman" w:cs="Times New Roman"/>
          <w:sz w:val="20"/>
          <w:szCs w:val="20"/>
        </w:rPr>
        <w:t xml:space="preserve">The shortlisted and reserved candidates are invited to the Selection Camp in June which is a one-day activity. The selection camp is the second phase of shortlisting where candidates undergo different activities such as IQ tests, interviews, panel discussions, etc. Following the Selection Camp, a Parental Engagement session is held prior to finalizing admissions to ensure that parents understand the demands of the College and the commitment required. </w:t>
      </w:r>
      <w:r w:rsidR="00B741BA" w:rsidRPr="00B741BA">
        <w:rPr>
          <w:rFonts w:ascii="Times New Roman" w:hAnsi="Times New Roman" w:cs="Times New Roman"/>
          <w:sz w:val="20"/>
          <w:szCs w:val="20"/>
        </w:rPr>
        <w:t xml:space="preserve"> For the new academic year 2023-2024, 277 students are offered admission.</w:t>
      </w:r>
    </w:p>
    <w:p w14:paraId="7F430E07" w14:textId="0BCDD7E6" w:rsidR="00B741BA" w:rsidRPr="00B741BA" w:rsidRDefault="00080977" w:rsidP="00B741BA">
      <w:pPr>
        <w:jc w:val="both"/>
        <w:rPr>
          <w:rFonts w:ascii="Times New Roman" w:hAnsi="Times New Roman" w:cs="Times New Roman"/>
          <w:sz w:val="20"/>
          <w:szCs w:val="20"/>
        </w:rPr>
      </w:pPr>
      <w:r w:rsidRPr="00B741BA">
        <w:rPr>
          <w:rFonts w:ascii="Times New Roman" w:hAnsi="Times New Roman" w:cs="Times New Roman"/>
          <w:sz w:val="20"/>
          <w:szCs w:val="20"/>
        </w:rPr>
        <w:t xml:space="preserve">Students start their journey at TCF College at the end of June with an Orientation and a Foundation Camp. The Foundation Camp for first-year students focuses on strengthening English language proficiency since most students have been schooling in Urdu up to this point and </w:t>
      </w:r>
      <w:r w:rsidR="00B741BA" w:rsidRPr="00B741BA">
        <w:rPr>
          <w:rFonts w:ascii="Times New Roman" w:hAnsi="Times New Roman" w:cs="Times New Roman"/>
          <w:sz w:val="20"/>
          <w:szCs w:val="20"/>
        </w:rPr>
        <w:t>must now transition to learning a foreign language. The Camp also focuses on strengthening Math skills. This period also tests students’ attendance, grit, and resilience to continue in the demanding college routine.</w:t>
      </w:r>
      <w:r w:rsidR="00B741BA" w:rsidRPr="00B741BA">
        <w:rPr>
          <w:rFonts w:ascii="Times New Roman" w:hAnsi="Times New Roman" w:cs="Times New Roman"/>
          <w:noProof/>
          <w:sz w:val="20"/>
          <w:szCs w:val="20"/>
        </w:rPr>
        <w:t xml:space="preserve"> </w:t>
      </w:r>
    </w:p>
    <w:p w14:paraId="60D49011" w14:textId="74EE36C8" w:rsidR="00B741BA" w:rsidRPr="00B741BA" w:rsidRDefault="00DD6150" w:rsidP="00B741BA">
      <w:pPr>
        <w:jc w:val="both"/>
        <w:rPr>
          <w:rFonts w:ascii="Times New Roman" w:hAnsi="Times New Roman" w:cs="Times New Roman"/>
          <w:sz w:val="20"/>
          <w:szCs w:val="20"/>
        </w:rPr>
      </w:pPr>
      <w:r w:rsidRPr="00B741BA">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5E1963C" wp14:editId="216005FA">
                <wp:simplePos x="0" y="0"/>
                <wp:positionH relativeFrom="margin">
                  <wp:posOffset>3375660</wp:posOffset>
                </wp:positionH>
                <wp:positionV relativeFrom="paragraph">
                  <wp:posOffset>1878965</wp:posOffset>
                </wp:positionV>
                <wp:extent cx="2590800" cy="662940"/>
                <wp:effectExtent l="0" t="0" r="19050" b="22860"/>
                <wp:wrapSquare wrapText="bothSides"/>
                <wp:docPr id="7" name="Text Box 7"/>
                <wp:cNvGraphicFramePr/>
                <a:graphic xmlns:a="http://schemas.openxmlformats.org/drawingml/2006/main">
                  <a:graphicData uri="http://schemas.microsoft.com/office/word/2010/wordprocessingShape">
                    <wps:wsp>
                      <wps:cNvSpPr txBox="1"/>
                      <wps:spPr>
                        <a:xfrm>
                          <a:off x="0" y="0"/>
                          <a:ext cx="2590800" cy="662940"/>
                        </a:xfrm>
                        <a:prstGeom prst="rect">
                          <a:avLst/>
                        </a:prstGeom>
                        <a:solidFill>
                          <a:schemeClr val="accent4">
                            <a:lumMod val="60000"/>
                            <a:lumOff val="40000"/>
                          </a:schemeClr>
                        </a:solidFill>
                        <a:ln w="3175">
                          <a:solidFill>
                            <a:schemeClr val="tx1"/>
                          </a:solidFill>
                        </a:ln>
                      </wps:spPr>
                      <wps:txbx>
                        <w:txbxContent>
                          <w:p w14:paraId="79583657" w14:textId="77777777" w:rsidR="00B741BA" w:rsidRPr="00DD6150" w:rsidRDefault="00B741BA" w:rsidP="00B741BA">
                            <w:pPr>
                              <w:pStyle w:val="Caption"/>
                              <w:rPr>
                                <w:rFonts w:ascii="Times New Roman" w:hAnsi="Times New Roman" w:cs="Times New Roman"/>
                                <w:b w:val="0"/>
                                <w:i/>
                                <w:noProof/>
                                <w:color w:val="000000" w:themeColor="text1"/>
                                <w:sz w:val="18"/>
                                <w:szCs w:val="18"/>
                              </w:rPr>
                            </w:pPr>
                            <w:r w:rsidRPr="00DD6150">
                              <w:rPr>
                                <w:rFonts w:ascii="Times New Roman" w:hAnsi="Times New Roman" w:cs="Times New Roman"/>
                                <w:i/>
                                <w:color w:val="000000" w:themeColor="text1"/>
                                <w:sz w:val="18"/>
                                <w:szCs w:val="18"/>
                              </w:rPr>
                              <w:t>TCF College students are encouraged to participate in various public speaking events. For example, TCF College students participated in Model United Nations at Habib University, Karachi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963C" id="Text Box 7" o:spid="_x0000_s1027" type="#_x0000_t202" style="position:absolute;left:0;text-align:left;margin-left:265.8pt;margin-top:147.95pt;width:204pt;height:5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" fillcolor="#ffd966 [1943]" strokecolor="black [3213]" strokeweight=".25pt">
                <v:textbox inset="0,0,0,0">
                  <w:txbxContent>
                    <w:p w14:paraId="79583657" w14:textId="77777777" w:rsidR="00B741BA" w:rsidRPr="00DD6150" w:rsidRDefault="00B741BA" w:rsidP="00B741BA">
                      <w:pPr>
                        <w:pStyle w:val="Caption"/>
                        <w:rPr>
                          <w:rFonts w:ascii="Times New Roman" w:hAnsi="Times New Roman" w:cs="Times New Roman"/>
                          <w:b w:val="0"/>
                          <w:i/>
                          <w:noProof/>
                          <w:color w:val="000000" w:themeColor="text1"/>
                          <w:sz w:val="18"/>
                          <w:szCs w:val="18"/>
                        </w:rPr>
                      </w:pPr>
                      <w:r w:rsidRPr="00DD6150">
                        <w:rPr>
                          <w:rFonts w:ascii="Times New Roman" w:hAnsi="Times New Roman" w:cs="Times New Roman"/>
                          <w:i/>
                          <w:color w:val="000000" w:themeColor="text1"/>
                          <w:sz w:val="18"/>
                          <w:szCs w:val="18"/>
                        </w:rPr>
                        <w:t>TCF College students are encouraged to participate in various public speaking events. For example, TCF College students participated in Model United Nations at Habib University, Karachi</w:t>
                      </w:r>
                    </w:p>
                  </w:txbxContent>
                </v:textbox>
                <w10:wrap type="square" anchorx="margin"/>
              </v:shape>
            </w:pict>
          </mc:Fallback>
        </mc:AlternateContent>
      </w:r>
      <w:r w:rsidR="00B741BA" w:rsidRPr="00B741BA">
        <w:rPr>
          <w:rFonts w:ascii="Times New Roman" w:hAnsi="Times New Roman" w:cs="Times New Roman"/>
          <w:noProof/>
          <w:sz w:val="20"/>
          <w:szCs w:val="20"/>
        </w:rPr>
        <w:drawing>
          <wp:anchor distT="0" distB="0" distL="114300" distR="114300" simplePos="0" relativeHeight="251662336" behindDoc="0" locked="0" layoutInCell="1" allowOverlap="1" wp14:anchorId="3F3AD52B" wp14:editId="1F2F46D7">
            <wp:simplePos x="0" y="0"/>
            <wp:positionH relativeFrom="margin">
              <wp:posOffset>3375660</wp:posOffset>
            </wp:positionH>
            <wp:positionV relativeFrom="paragraph">
              <wp:posOffset>17145</wp:posOffset>
            </wp:positionV>
            <wp:extent cx="2572385" cy="1866900"/>
            <wp:effectExtent l="57150" t="57150" r="113665" b="1143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6166733_522221806588987_8122069506033411331_n.jpg"/>
                    <pic:cNvPicPr/>
                  </pic:nvPicPr>
                  <pic:blipFill rotWithShape="1">
                    <a:blip r:embed="rId14">
                      <a:extLst>
                        <a:ext uri="{28A0092B-C50C-407E-A947-70E740481C1C}">
                          <a14:useLocalDpi xmlns:a14="http://schemas.microsoft.com/office/drawing/2010/main" val="0"/>
                        </a:ext>
                      </a:extLst>
                    </a:blip>
                    <a:srcRect l="5000" t="58461" r="51666" b="4359"/>
                    <a:stretch/>
                  </pic:blipFill>
                  <pic:spPr bwMode="auto">
                    <a:xfrm>
                      <a:off x="0" y="0"/>
                      <a:ext cx="2572385" cy="18669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41BA" w:rsidRPr="00B741BA">
        <w:rPr>
          <w:rFonts w:ascii="Times New Roman" w:hAnsi="Times New Roman" w:cs="Times New Roman"/>
          <w:sz w:val="20"/>
          <w:szCs w:val="20"/>
        </w:rPr>
        <w:t xml:space="preserve">Right from the onset, the college trains students to achieve excellent results both in academics and extra-curricular activities. College enables students to transition to tertiary education and secure employment through outcome-oriented student development activities that take place round the year from August to May along with regular academic sessions. These activities equip students with the 5-Cs of 21st-century skills (Creativity and Critical Thinking, Conceptual Understanding, Confidence, and Communication). The student activities revolve around 6 main thematic areas i.e. Student Week/Winter Workshop, Career Choice/Development, Expanding World Views, Life Orientation, Digital Literacy Skills, and, Computer Science &amp; Engineering. </w:t>
      </w:r>
    </w:p>
    <w:p w14:paraId="1DCDAB53" w14:textId="6675D49C" w:rsidR="00B741BA" w:rsidRPr="00B741BA" w:rsidRDefault="00B741BA" w:rsidP="00B741BA">
      <w:pPr>
        <w:jc w:val="both"/>
        <w:rPr>
          <w:rFonts w:ascii="Times New Roman" w:hAnsi="Times New Roman" w:cs="Times New Roman"/>
          <w:sz w:val="20"/>
          <w:szCs w:val="20"/>
        </w:rPr>
      </w:pPr>
      <w:r w:rsidRPr="00B741BA">
        <w:rPr>
          <w:rFonts w:ascii="Times New Roman" w:hAnsi="Times New Roman" w:cs="Times New Roman"/>
          <w:sz w:val="20"/>
          <w:szCs w:val="20"/>
        </w:rPr>
        <w:t xml:space="preserve">Along with self-development activities, students are prepared for their board examination from Day-1. Each student receives 800+ hours of training to prepare for exams. Midterm examinations are rolled out in December whereas Final Board Examination takes place in May-June. </w:t>
      </w:r>
    </w:p>
    <w:p w14:paraId="477FB048" w14:textId="707FB377" w:rsidR="00E40568" w:rsidRPr="00B741BA" w:rsidRDefault="00B741BA" w:rsidP="00B741BA">
      <w:pPr>
        <w:jc w:val="both"/>
        <w:rPr>
          <w:rFonts w:ascii="Times New Roman" w:hAnsi="Times New Roman" w:cs="Times New Roman"/>
          <w:sz w:val="20"/>
          <w:szCs w:val="20"/>
        </w:rPr>
      </w:pPr>
      <w:r w:rsidRPr="00B741BA">
        <w:rPr>
          <w:rFonts w:ascii="Times New Roman" w:hAnsi="Times New Roman" w:cs="Times New Roman"/>
          <w:sz w:val="20"/>
          <w:szCs w:val="20"/>
        </w:rPr>
        <w:t xml:space="preserve">The college also offers internship positions to college alumni after they graduate from TCFC which helps them to grow professionally. Each year 10 student leaders and 2 interns are hired by the college on a rolling basis. </w:t>
      </w:r>
    </w:p>
    <w:p w14:paraId="76B1D0A4" w14:textId="77777777" w:rsidR="00DD6150" w:rsidRDefault="00DD6150" w:rsidP="00B46B9D">
      <w:pPr>
        <w:jc w:val="both"/>
        <w:rPr>
          <w:rFonts w:ascii="Times New Roman" w:hAnsi="Times New Roman" w:cs="Times New Roman"/>
          <w:b/>
          <w:sz w:val="20"/>
          <w:szCs w:val="20"/>
        </w:rPr>
      </w:pPr>
    </w:p>
    <w:p w14:paraId="440F348B" w14:textId="77777777" w:rsidR="00DD6150" w:rsidRDefault="00DD6150" w:rsidP="00B46B9D">
      <w:pPr>
        <w:jc w:val="both"/>
        <w:rPr>
          <w:rFonts w:ascii="Times New Roman" w:hAnsi="Times New Roman" w:cs="Times New Roman"/>
          <w:b/>
          <w:sz w:val="20"/>
          <w:szCs w:val="20"/>
        </w:rPr>
      </w:pPr>
    </w:p>
    <w:p w14:paraId="3C131704" w14:textId="5B80A1F5" w:rsidR="00B46B9D" w:rsidRPr="00B741BA" w:rsidRDefault="00DD6150" w:rsidP="00B46B9D">
      <w:pPr>
        <w:jc w:val="both"/>
        <w:rPr>
          <w:rFonts w:ascii="Times New Roman" w:hAnsi="Times New Roman" w:cs="Times New Roman"/>
          <w:b/>
          <w:sz w:val="20"/>
          <w:szCs w:val="20"/>
        </w:rPr>
      </w:pPr>
      <w:r>
        <w:rPr>
          <w:rFonts w:ascii="Times New Roman" w:hAnsi="Times New Roman" w:cs="Times New Roman"/>
          <w:b/>
          <w:sz w:val="20"/>
          <w:szCs w:val="20"/>
        </w:rPr>
        <w:lastRenderedPageBreak/>
        <w:t>Request for Funding:</w:t>
      </w:r>
    </w:p>
    <w:p w14:paraId="683C4DC3" w14:textId="12533F7C" w:rsidR="00F60E46" w:rsidRPr="00B741BA" w:rsidRDefault="00F60E46" w:rsidP="00B46B9D">
      <w:pPr>
        <w:jc w:val="both"/>
        <w:rPr>
          <w:rFonts w:ascii="Times New Roman" w:hAnsi="Times New Roman" w:cs="Times New Roman"/>
          <w:b/>
          <w:sz w:val="20"/>
          <w:szCs w:val="20"/>
        </w:rPr>
      </w:pPr>
      <w:r w:rsidRPr="00B741BA">
        <w:rPr>
          <w:rFonts w:ascii="Times New Roman" w:hAnsi="Times New Roman" w:cs="Times New Roman"/>
          <w:sz w:val="20"/>
          <w:szCs w:val="20"/>
        </w:rPr>
        <w:t xml:space="preserve">The devaluation of the Pakistani Rupee in the global market poses a challenging scenario for the approaching year. The expenses tied to paper and fuel have seen a doubling effect compared to the previous year, and the need to accommodate compensation in salaries amidst escalating inflation adds further complexity to the budgeting process for forthcoming expenditures. The budget for the college for the academic year </w:t>
      </w:r>
      <w:r w:rsidRPr="00B741BA">
        <w:rPr>
          <w:rFonts w:ascii="Times New Roman" w:hAnsi="Times New Roman" w:cs="Times New Roman"/>
          <w:b/>
          <w:sz w:val="20"/>
          <w:szCs w:val="20"/>
        </w:rPr>
        <w:t>2023-2024</w:t>
      </w:r>
      <w:r w:rsidRPr="00B741BA">
        <w:rPr>
          <w:rFonts w:ascii="Times New Roman" w:hAnsi="Times New Roman" w:cs="Times New Roman"/>
          <w:sz w:val="20"/>
          <w:szCs w:val="20"/>
        </w:rPr>
        <w:t xml:space="preserve"> is </w:t>
      </w:r>
      <w:r w:rsidRPr="00B741BA">
        <w:rPr>
          <w:rFonts w:ascii="Times New Roman" w:hAnsi="Times New Roman" w:cs="Times New Roman"/>
          <w:b/>
          <w:sz w:val="20"/>
          <w:szCs w:val="20"/>
        </w:rPr>
        <w:t>USD 360,000</w:t>
      </w:r>
      <w:r w:rsidRPr="00B741BA">
        <w:rPr>
          <w:rFonts w:ascii="Times New Roman" w:hAnsi="Times New Roman" w:cs="Times New Roman"/>
          <w:sz w:val="20"/>
          <w:szCs w:val="20"/>
        </w:rPr>
        <w:t>. For the</w:t>
      </w:r>
      <w:r w:rsidR="0025138B">
        <w:rPr>
          <w:rFonts w:ascii="Times New Roman" w:hAnsi="Times New Roman" w:cs="Times New Roman"/>
          <w:sz w:val="20"/>
          <w:szCs w:val="20"/>
        </w:rPr>
        <w:t xml:space="preserve"> mentioned</w:t>
      </w:r>
      <w:r w:rsidRPr="00B741BA">
        <w:rPr>
          <w:rFonts w:ascii="Times New Roman" w:hAnsi="Times New Roman" w:cs="Times New Roman"/>
          <w:sz w:val="20"/>
          <w:szCs w:val="20"/>
        </w:rPr>
        <w:t xml:space="preserve"> academic year, we hu</w:t>
      </w:r>
      <w:r w:rsidR="00EC1507">
        <w:rPr>
          <w:rFonts w:ascii="Times New Roman" w:hAnsi="Times New Roman" w:cs="Times New Roman"/>
          <w:sz w:val="20"/>
          <w:szCs w:val="20"/>
        </w:rPr>
        <w:t xml:space="preserve">mbly appeal for your support of </w:t>
      </w:r>
      <w:r w:rsidR="005D4CE2" w:rsidRPr="00EC1507">
        <w:rPr>
          <w:rFonts w:ascii="Times New Roman" w:hAnsi="Times New Roman" w:cs="Times New Roman"/>
          <w:b/>
          <w:sz w:val="20"/>
          <w:szCs w:val="20"/>
          <w:highlight w:val="yellow"/>
        </w:rPr>
        <w:t>X</w:t>
      </w:r>
      <w:r w:rsidR="00EC1507">
        <w:rPr>
          <w:rFonts w:ascii="Times New Roman" w:hAnsi="Times New Roman" w:cs="Times New Roman"/>
          <w:b/>
          <w:sz w:val="20"/>
          <w:szCs w:val="20"/>
        </w:rPr>
        <w:t xml:space="preserve"> </w:t>
      </w:r>
      <w:r w:rsidRPr="00B741BA">
        <w:rPr>
          <w:rFonts w:ascii="Times New Roman" w:hAnsi="Times New Roman" w:cs="Times New Roman"/>
          <w:b/>
          <w:sz w:val="20"/>
          <w:szCs w:val="20"/>
        </w:rPr>
        <w:t>USD</w:t>
      </w:r>
      <w:r w:rsidRPr="00B741BA">
        <w:rPr>
          <w:rFonts w:ascii="Times New Roman" w:hAnsi="Times New Roman" w:cs="Times New Roman"/>
          <w:sz w:val="20"/>
          <w:szCs w:val="20"/>
        </w:rPr>
        <w:t>. Your contribution would make a significant difference in ensuring the continued success of the TCF College.</w:t>
      </w:r>
    </w:p>
    <w:p w14:paraId="660F0C1A" w14:textId="35DCF479" w:rsidR="000E62C8" w:rsidRPr="00B741BA" w:rsidRDefault="000E62C8" w:rsidP="000E62C8">
      <w:pPr>
        <w:spacing w:line="276" w:lineRule="auto"/>
        <w:rPr>
          <w:rFonts w:ascii="Times New Roman" w:hAnsi="Times New Roman" w:cs="Times New Roman"/>
          <w:sz w:val="20"/>
          <w:szCs w:val="20"/>
        </w:rPr>
      </w:pPr>
      <w:r w:rsidRPr="00B741BA">
        <w:rPr>
          <w:rFonts w:ascii="Times New Roman" w:hAnsi="Times New Roman" w:cs="Times New Roman"/>
          <w:sz w:val="20"/>
          <w:szCs w:val="20"/>
        </w:rPr>
        <w:t>The table below shows a breakdown of the annual college costs.</w:t>
      </w:r>
    </w:p>
    <w:tbl>
      <w:tblPr>
        <w:tblStyle w:val="TableGrid"/>
        <w:tblpPr w:leftFromText="180" w:rightFromText="180" w:vertAnchor="text" w:horzAnchor="page" w:tblpX="1442" w:tblpY="213"/>
        <w:tblW w:w="9351" w:type="dxa"/>
        <w:tblLook w:val="04A0" w:firstRow="1" w:lastRow="0" w:firstColumn="1" w:lastColumn="0" w:noHBand="0" w:noVBand="1"/>
      </w:tblPr>
      <w:tblGrid>
        <w:gridCol w:w="6374"/>
        <w:gridCol w:w="2977"/>
      </w:tblGrid>
      <w:tr w:rsidR="000E62C8" w:rsidRPr="00B741BA" w14:paraId="05CBC48C" w14:textId="77777777" w:rsidTr="007C46EB">
        <w:trPr>
          <w:trHeight w:val="260"/>
        </w:trPr>
        <w:tc>
          <w:tcPr>
            <w:tcW w:w="6374" w:type="dxa"/>
            <w:noWrap/>
            <w:hideMark/>
          </w:tcPr>
          <w:p w14:paraId="6A502A1E" w14:textId="77777777" w:rsidR="000E62C8" w:rsidRPr="00B741BA" w:rsidRDefault="000E62C8" w:rsidP="000E62C8">
            <w:pPr>
              <w:rPr>
                <w:rFonts w:ascii="Times New Roman" w:hAnsi="Times New Roman" w:cs="Times New Roman"/>
                <w:b/>
                <w:sz w:val="20"/>
                <w:szCs w:val="20"/>
              </w:rPr>
            </w:pPr>
            <w:r w:rsidRPr="00B741BA">
              <w:rPr>
                <w:rFonts w:ascii="Times New Roman" w:hAnsi="Times New Roman" w:cs="Times New Roman"/>
                <w:b/>
                <w:sz w:val="20"/>
                <w:szCs w:val="20"/>
              </w:rPr>
              <w:t>Cost Break-up</w:t>
            </w:r>
          </w:p>
        </w:tc>
        <w:tc>
          <w:tcPr>
            <w:tcW w:w="2977" w:type="dxa"/>
            <w:noWrap/>
            <w:hideMark/>
          </w:tcPr>
          <w:p w14:paraId="206CB796" w14:textId="77777777" w:rsidR="000E62C8" w:rsidRPr="00B741BA" w:rsidRDefault="000E62C8" w:rsidP="007C46EB">
            <w:pPr>
              <w:jc w:val="right"/>
              <w:rPr>
                <w:rFonts w:ascii="Times New Roman" w:hAnsi="Times New Roman" w:cs="Times New Roman"/>
                <w:b/>
                <w:sz w:val="20"/>
                <w:szCs w:val="20"/>
              </w:rPr>
            </w:pPr>
            <w:r w:rsidRPr="00B741BA">
              <w:rPr>
                <w:rFonts w:ascii="Times New Roman" w:hAnsi="Times New Roman" w:cs="Times New Roman"/>
                <w:b/>
                <w:sz w:val="20"/>
                <w:szCs w:val="20"/>
              </w:rPr>
              <w:t>Amount (USD)</w:t>
            </w:r>
          </w:p>
        </w:tc>
      </w:tr>
      <w:tr w:rsidR="000E62C8" w:rsidRPr="00B741BA" w14:paraId="31449323" w14:textId="77777777" w:rsidTr="000E62C8">
        <w:trPr>
          <w:trHeight w:val="288"/>
        </w:trPr>
        <w:tc>
          <w:tcPr>
            <w:tcW w:w="6374" w:type="dxa"/>
            <w:noWrap/>
            <w:hideMark/>
          </w:tcPr>
          <w:p w14:paraId="753FD42C" w14:textId="77777777" w:rsidR="000E62C8" w:rsidRPr="00B741BA" w:rsidRDefault="000E62C8" w:rsidP="000E62C8">
            <w:pPr>
              <w:rPr>
                <w:rFonts w:ascii="Times New Roman" w:hAnsi="Times New Roman" w:cs="Times New Roman"/>
                <w:sz w:val="20"/>
                <w:szCs w:val="20"/>
              </w:rPr>
            </w:pPr>
            <w:r w:rsidRPr="00B741BA">
              <w:rPr>
                <w:rFonts w:ascii="Times New Roman" w:hAnsi="Times New Roman" w:cs="Times New Roman"/>
                <w:sz w:val="20"/>
                <w:szCs w:val="20"/>
              </w:rPr>
              <w:t>Student Transport</w:t>
            </w:r>
          </w:p>
        </w:tc>
        <w:tc>
          <w:tcPr>
            <w:tcW w:w="2977" w:type="dxa"/>
            <w:noWrap/>
            <w:hideMark/>
          </w:tcPr>
          <w:p w14:paraId="2CBB875C" w14:textId="77777777" w:rsidR="000E62C8" w:rsidRPr="00B741BA" w:rsidRDefault="000E62C8" w:rsidP="000E62C8">
            <w:pPr>
              <w:jc w:val="right"/>
              <w:rPr>
                <w:rFonts w:ascii="Times New Roman" w:hAnsi="Times New Roman" w:cs="Times New Roman"/>
                <w:sz w:val="20"/>
                <w:szCs w:val="20"/>
              </w:rPr>
            </w:pPr>
            <w:r w:rsidRPr="00B741BA">
              <w:rPr>
                <w:rFonts w:ascii="Times New Roman" w:hAnsi="Times New Roman" w:cs="Times New Roman"/>
                <w:sz w:val="20"/>
                <w:szCs w:val="20"/>
              </w:rPr>
              <w:t>147,500</w:t>
            </w:r>
          </w:p>
        </w:tc>
      </w:tr>
      <w:tr w:rsidR="000E62C8" w:rsidRPr="00B741BA" w14:paraId="0FF89183" w14:textId="77777777" w:rsidTr="000E62C8">
        <w:trPr>
          <w:trHeight w:val="288"/>
        </w:trPr>
        <w:tc>
          <w:tcPr>
            <w:tcW w:w="6374" w:type="dxa"/>
            <w:noWrap/>
            <w:hideMark/>
          </w:tcPr>
          <w:p w14:paraId="2ECD80D4" w14:textId="77777777" w:rsidR="000E62C8" w:rsidRPr="00B741BA" w:rsidRDefault="000E62C8" w:rsidP="000E62C8">
            <w:pPr>
              <w:rPr>
                <w:rFonts w:ascii="Times New Roman" w:hAnsi="Times New Roman" w:cs="Times New Roman"/>
                <w:sz w:val="20"/>
                <w:szCs w:val="20"/>
              </w:rPr>
            </w:pPr>
            <w:r w:rsidRPr="00B741BA">
              <w:rPr>
                <w:rFonts w:ascii="Times New Roman" w:hAnsi="Times New Roman" w:cs="Times New Roman"/>
                <w:sz w:val="20"/>
                <w:szCs w:val="20"/>
              </w:rPr>
              <w:t>Student Materials (Books, Printouts, Uniform, Stationery)</w:t>
            </w:r>
          </w:p>
        </w:tc>
        <w:tc>
          <w:tcPr>
            <w:tcW w:w="2977" w:type="dxa"/>
            <w:noWrap/>
            <w:hideMark/>
          </w:tcPr>
          <w:p w14:paraId="1CD41A10" w14:textId="77777777" w:rsidR="000E62C8" w:rsidRPr="00B741BA" w:rsidRDefault="000E62C8" w:rsidP="000E62C8">
            <w:pPr>
              <w:jc w:val="right"/>
              <w:rPr>
                <w:rFonts w:ascii="Times New Roman" w:hAnsi="Times New Roman" w:cs="Times New Roman"/>
                <w:sz w:val="20"/>
                <w:szCs w:val="20"/>
              </w:rPr>
            </w:pPr>
            <w:r w:rsidRPr="00B741BA">
              <w:rPr>
                <w:rFonts w:ascii="Times New Roman" w:hAnsi="Times New Roman" w:cs="Times New Roman"/>
                <w:sz w:val="20"/>
                <w:szCs w:val="20"/>
              </w:rPr>
              <w:t>23,500</w:t>
            </w:r>
          </w:p>
        </w:tc>
      </w:tr>
      <w:tr w:rsidR="000E62C8" w:rsidRPr="00B741BA" w14:paraId="2A95C4E0" w14:textId="77777777" w:rsidTr="000E62C8">
        <w:trPr>
          <w:trHeight w:val="288"/>
        </w:trPr>
        <w:tc>
          <w:tcPr>
            <w:tcW w:w="6374" w:type="dxa"/>
            <w:noWrap/>
            <w:hideMark/>
          </w:tcPr>
          <w:p w14:paraId="4DF2FCD2" w14:textId="77777777" w:rsidR="000E62C8" w:rsidRPr="00B741BA" w:rsidRDefault="000E62C8" w:rsidP="000E62C8">
            <w:pPr>
              <w:rPr>
                <w:rFonts w:ascii="Times New Roman" w:hAnsi="Times New Roman" w:cs="Times New Roman"/>
                <w:sz w:val="20"/>
                <w:szCs w:val="20"/>
              </w:rPr>
            </w:pPr>
            <w:r w:rsidRPr="00B741BA">
              <w:rPr>
                <w:rFonts w:ascii="Times New Roman" w:hAnsi="Times New Roman" w:cs="Times New Roman"/>
                <w:sz w:val="20"/>
                <w:szCs w:val="20"/>
              </w:rPr>
              <w:t>All Other Operational Costs for College</w:t>
            </w:r>
          </w:p>
        </w:tc>
        <w:tc>
          <w:tcPr>
            <w:tcW w:w="2977" w:type="dxa"/>
            <w:noWrap/>
            <w:hideMark/>
          </w:tcPr>
          <w:p w14:paraId="7DD9E0E6" w14:textId="77777777" w:rsidR="000E62C8" w:rsidRPr="00B741BA" w:rsidRDefault="000E62C8" w:rsidP="000E62C8">
            <w:pPr>
              <w:jc w:val="right"/>
              <w:rPr>
                <w:rFonts w:ascii="Times New Roman" w:hAnsi="Times New Roman" w:cs="Times New Roman"/>
                <w:sz w:val="20"/>
                <w:szCs w:val="20"/>
              </w:rPr>
            </w:pPr>
            <w:r w:rsidRPr="00B741BA">
              <w:rPr>
                <w:rFonts w:ascii="Times New Roman" w:hAnsi="Times New Roman" w:cs="Times New Roman"/>
                <w:sz w:val="20"/>
                <w:szCs w:val="20"/>
              </w:rPr>
              <w:t>42,000</w:t>
            </w:r>
          </w:p>
        </w:tc>
      </w:tr>
      <w:tr w:rsidR="000E62C8" w:rsidRPr="00B741BA" w14:paraId="57B7792E" w14:textId="77777777" w:rsidTr="000E62C8">
        <w:trPr>
          <w:trHeight w:val="288"/>
        </w:trPr>
        <w:tc>
          <w:tcPr>
            <w:tcW w:w="6374" w:type="dxa"/>
            <w:noWrap/>
            <w:hideMark/>
          </w:tcPr>
          <w:p w14:paraId="4EAE9FD0" w14:textId="77777777" w:rsidR="000E62C8" w:rsidRPr="00B741BA" w:rsidRDefault="000E62C8" w:rsidP="000E62C8">
            <w:pPr>
              <w:rPr>
                <w:rFonts w:ascii="Times New Roman" w:hAnsi="Times New Roman" w:cs="Times New Roman"/>
                <w:sz w:val="20"/>
                <w:szCs w:val="20"/>
              </w:rPr>
            </w:pPr>
            <w:r w:rsidRPr="00B741BA">
              <w:rPr>
                <w:rFonts w:ascii="Times New Roman" w:hAnsi="Times New Roman" w:cs="Times New Roman"/>
                <w:sz w:val="20"/>
                <w:szCs w:val="20"/>
              </w:rPr>
              <w:t>Teacher Salaries</w:t>
            </w:r>
          </w:p>
        </w:tc>
        <w:tc>
          <w:tcPr>
            <w:tcW w:w="2977" w:type="dxa"/>
            <w:noWrap/>
            <w:hideMark/>
          </w:tcPr>
          <w:p w14:paraId="1C35D19F" w14:textId="77777777" w:rsidR="000E62C8" w:rsidRPr="00B741BA" w:rsidRDefault="000E62C8" w:rsidP="000E62C8">
            <w:pPr>
              <w:jc w:val="right"/>
              <w:rPr>
                <w:rFonts w:ascii="Times New Roman" w:hAnsi="Times New Roman" w:cs="Times New Roman"/>
                <w:sz w:val="20"/>
                <w:szCs w:val="20"/>
              </w:rPr>
            </w:pPr>
            <w:r w:rsidRPr="00B741BA">
              <w:rPr>
                <w:rFonts w:ascii="Times New Roman" w:hAnsi="Times New Roman" w:cs="Times New Roman"/>
                <w:sz w:val="20"/>
                <w:szCs w:val="20"/>
              </w:rPr>
              <w:t>109,000</w:t>
            </w:r>
          </w:p>
        </w:tc>
      </w:tr>
      <w:tr w:rsidR="000E62C8" w:rsidRPr="00B741BA" w14:paraId="6385D62C" w14:textId="77777777" w:rsidTr="000E62C8">
        <w:trPr>
          <w:trHeight w:val="288"/>
        </w:trPr>
        <w:tc>
          <w:tcPr>
            <w:tcW w:w="6374" w:type="dxa"/>
            <w:noWrap/>
            <w:hideMark/>
          </w:tcPr>
          <w:p w14:paraId="34B0D14C" w14:textId="77777777" w:rsidR="000E62C8" w:rsidRPr="00B741BA" w:rsidRDefault="000E62C8" w:rsidP="000E62C8">
            <w:pPr>
              <w:rPr>
                <w:rFonts w:ascii="Times New Roman" w:hAnsi="Times New Roman" w:cs="Times New Roman"/>
                <w:sz w:val="20"/>
                <w:szCs w:val="20"/>
              </w:rPr>
            </w:pPr>
            <w:r w:rsidRPr="00B741BA">
              <w:rPr>
                <w:rFonts w:ascii="Times New Roman" w:hAnsi="Times New Roman" w:cs="Times New Roman"/>
                <w:sz w:val="20"/>
                <w:szCs w:val="20"/>
              </w:rPr>
              <w:t>Head Office Operational Expenses</w:t>
            </w:r>
          </w:p>
        </w:tc>
        <w:tc>
          <w:tcPr>
            <w:tcW w:w="2977" w:type="dxa"/>
            <w:noWrap/>
            <w:hideMark/>
          </w:tcPr>
          <w:p w14:paraId="7E5A268C" w14:textId="77777777" w:rsidR="000E62C8" w:rsidRPr="00B741BA" w:rsidRDefault="000E62C8" w:rsidP="000E62C8">
            <w:pPr>
              <w:jc w:val="right"/>
              <w:rPr>
                <w:rFonts w:ascii="Times New Roman" w:hAnsi="Times New Roman" w:cs="Times New Roman"/>
                <w:sz w:val="20"/>
                <w:szCs w:val="20"/>
              </w:rPr>
            </w:pPr>
            <w:r w:rsidRPr="00B741BA">
              <w:rPr>
                <w:rFonts w:ascii="Times New Roman" w:hAnsi="Times New Roman" w:cs="Times New Roman"/>
                <w:sz w:val="20"/>
                <w:szCs w:val="20"/>
              </w:rPr>
              <w:t>38,000</w:t>
            </w:r>
          </w:p>
        </w:tc>
      </w:tr>
      <w:tr w:rsidR="000E62C8" w:rsidRPr="00B741BA" w14:paraId="62C6502D" w14:textId="77777777" w:rsidTr="000E62C8">
        <w:trPr>
          <w:trHeight w:val="288"/>
        </w:trPr>
        <w:tc>
          <w:tcPr>
            <w:tcW w:w="6374" w:type="dxa"/>
            <w:noWrap/>
            <w:hideMark/>
          </w:tcPr>
          <w:p w14:paraId="20764601" w14:textId="77777777" w:rsidR="000E62C8" w:rsidRPr="00B741BA" w:rsidRDefault="000E62C8" w:rsidP="000E62C8">
            <w:pPr>
              <w:rPr>
                <w:rFonts w:ascii="Times New Roman" w:hAnsi="Times New Roman" w:cs="Times New Roman"/>
                <w:b/>
                <w:sz w:val="20"/>
                <w:szCs w:val="20"/>
              </w:rPr>
            </w:pPr>
            <w:r w:rsidRPr="00B741BA">
              <w:rPr>
                <w:rFonts w:ascii="Times New Roman" w:hAnsi="Times New Roman" w:cs="Times New Roman"/>
                <w:b/>
                <w:sz w:val="20"/>
                <w:szCs w:val="20"/>
              </w:rPr>
              <w:t>Total Cost</w:t>
            </w:r>
          </w:p>
        </w:tc>
        <w:tc>
          <w:tcPr>
            <w:tcW w:w="2977" w:type="dxa"/>
            <w:noWrap/>
            <w:hideMark/>
          </w:tcPr>
          <w:p w14:paraId="74685D0A" w14:textId="77777777" w:rsidR="000E62C8" w:rsidRPr="00B741BA" w:rsidRDefault="000E62C8" w:rsidP="000E62C8">
            <w:pPr>
              <w:jc w:val="right"/>
              <w:rPr>
                <w:rFonts w:ascii="Times New Roman" w:hAnsi="Times New Roman" w:cs="Times New Roman"/>
                <w:b/>
                <w:sz w:val="20"/>
                <w:szCs w:val="20"/>
              </w:rPr>
            </w:pPr>
            <w:r w:rsidRPr="00B741BA">
              <w:rPr>
                <w:rFonts w:ascii="Times New Roman" w:hAnsi="Times New Roman" w:cs="Times New Roman"/>
                <w:b/>
                <w:sz w:val="20"/>
                <w:szCs w:val="20"/>
              </w:rPr>
              <w:t>360,000 </w:t>
            </w:r>
          </w:p>
        </w:tc>
      </w:tr>
    </w:tbl>
    <w:p w14:paraId="07A64385" w14:textId="77777777" w:rsidR="000E62C8" w:rsidRPr="00B741BA" w:rsidRDefault="000E62C8" w:rsidP="00B46B9D">
      <w:pPr>
        <w:jc w:val="both"/>
        <w:rPr>
          <w:rFonts w:ascii="Times New Roman" w:hAnsi="Times New Roman" w:cs="Times New Roman"/>
          <w:sz w:val="20"/>
          <w:szCs w:val="20"/>
        </w:rPr>
      </w:pPr>
    </w:p>
    <w:p w14:paraId="29D6B04F" w14:textId="7CBD74BA" w:rsidR="0050586D" w:rsidRPr="00B741BA" w:rsidRDefault="00FA3E86" w:rsidP="00FB5E3A">
      <w:pPr>
        <w:jc w:val="both"/>
        <w:rPr>
          <w:rFonts w:ascii="Times New Roman" w:hAnsi="Times New Roman" w:cs="Times New Roman"/>
          <w:b/>
          <w:sz w:val="20"/>
          <w:szCs w:val="20"/>
        </w:rPr>
      </w:pPr>
      <w:r w:rsidRPr="00B741BA">
        <w:rPr>
          <w:rFonts w:ascii="Times New Roman" w:hAnsi="Times New Roman" w:cs="Times New Roman"/>
          <w:b/>
          <w:sz w:val="20"/>
          <w:szCs w:val="20"/>
        </w:rPr>
        <w:t>Reporting Timeline</w:t>
      </w:r>
      <w:r w:rsidR="00DD6150">
        <w:rPr>
          <w:rFonts w:ascii="Times New Roman" w:hAnsi="Times New Roman" w:cs="Times New Roman"/>
          <w:b/>
          <w:sz w:val="20"/>
          <w:szCs w:val="20"/>
        </w:rPr>
        <w:t>:</w:t>
      </w:r>
    </w:p>
    <w:p w14:paraId="01E56E70" w14:textId="7E76BE45" w:rsidR="00742CDC" w:rsidRPr="00B741BA" w:rsidRDefault="00742CDC" w:rsidP="00FB5E3A">
      <w:pPr>
        <w:jc w:val="both"/>
        <w:rPr>
          <w:rFonts w:ascii="Times New Roman" w:hAnsi="Times New Roman" w:cs="Times New Roman"/>
          <w:sz w:val="20"/>
          <w:szCs w:val="20"/>
        </w:rPr>
      </w:pPr>
      <w:r w:rsidRPr="00B741BA">
        <w:rPr>
          <w:rFonts w:ascii="Times New Roman" w:hAnsi="Times New Roman" w:cs="Times New Roman"/>
          <w:sz w:val="20"/>
          <w:szCs w:val="20"/>
        </w:rPr>
        <w:t>TCF will be sharing bi-annual reports on your annual support on the below timelines:</w:t>
      </w:r>
    </w:p>
    <w:p w14:paraId="0D0B940D" w14:textId="60178A23" w:rsidR="0050586D" w:rsidRPr="00B741BA" w:rsidRDefault="00742CDC">
      <w:pPr>
        <w:rPr>
          <w:rFonts w:ascii="Times New Roman" w:hAnsi="Times New Roman" w:cs="Times New Roman"/>
          <w:sz w:val="20"/>
          <w:szCs w:val="20"/>
        </w:rPr>
      </w:pPr>
      <w:r w:rsidRPr="00B741BA">
        <w:rPr>
          <w:rFonts w:ascii="Times New Roman" w:hAnsi="Times New Roman" w:cs="Times New Roman"/>
          <w:sz w:val="20"/>
          <w:szCs w:val="20"/>
        </w:rPr>
        <w:t>31</w:t>
      </w:r>
      <w:r w:rsidRPr="00B741BA">
        <w:rPr>
          <w:rFonts w:ascii="Times New Roman" w:hAnsi="Times New Roman" w:cs="Times New Roman"/>
          <w:sz w:val="20"/>
          <w:szCs w:val="20"/>
          <w:vertAlign w:val="superscript"/>
        </w:rPr>
        <w:t>st</w:t>
      </w:r>
      <w:r w:rsidRPr="00B741BA">
        <w:rPr>
          <w:rFonts w:ascii="Times New Roman" w:hAnsi="Times New Roman" w:cs="Times New Roman"/>
          <w:sz w:val="20"/>
          <w:szCs w:val="20"/>
        </w:rPr>
        <w:t xml:space="preserve"> March 2024 – for the period July – December 2023</w:t>
      </w:r>
    </w:p>
    <w:p w14:paraId="021B3A7C" w14:textId="0B2640FB" w:rsidR="00742CDC" w:rsidRPr="00B741BA" w:rsidRDefault="00742CDC">
      <w:pPr>
        <w:rPr>
          <w:rFonts w:ascii="Times New Roman" w:hAnsi="Times New Roman" w:cs="Times New Roman"/>
          <w:sz w:val="20"/>
          <w:szCs w:val="20"/>
        </w:rPr>
      </w:pPr>
      <w:r w:rsidRPr="00B741BA">
        <w:rPr>
          <w:rFonts w:ascii="Times New Roman" w:hAnsi="Times New Roman" w:cs="Times New Roman"/>
          <w:sz w:val="20"/>
          <w:szCs w:val="20"/>
        </w:rPr>
        <w:t>31</w:t>
      </w:r>
      <w:r w:rsidRPr="00B741BA">
        <w:rPr>
          <w:rFonts w:ascii="Times New Roman" w:hAnsi="Times New Roman" w:cs="Times New Roman"/>
          <w:sz w:val="20"/>
          <w:szCs w:val="20"/>
          <w:vertAlign w:val="superscript"/>
        </w:rPr>
        <w:t>st</w:t>
      </w:r>
      <w:r w:rsidRPr="00B741BA">
        <w:rPr>
          <w:rFonts w:ascii="Times New Roman" w:hAnsi="Times New Roman" w:cs="Times New Roman"/>
          <w:sz w:val="20"/>
          <w:szCs w:val="20"/>
        </w:rPr>
        <w:t xml:space="preserve"> August 2024 – for the period January to June 2024</w:t>
      </w:r>
    </w:p>
    <w:sectPr w:rsidR="00742CDC" w:rsidRPr="00B741BA" w:rsidSect="003D6E76">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99D34" w14:textId="77777777" w:rsidR="000719C7" w:rsidRDefault="000719C7" w:rsidP="00603D58">
      <w:pPr>
        <w:spacing w:after="0" w:line="240" w:lineRule="auto"/>
      </w:pPr>
      <w:r>
        <w:separator/>
      </w:r>
    </w:p>
  </w:endnote>
  <w:endnote w:type="continuationSeparator" w:id="0">
    <w:p w14:paraId="723A2277" w14:textId="77777777" w:rsidR="000719C7" w:rsidRDefault="000719C7" w:rsidP="0060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558394"/>
      <w:docPartObj>
        <w:docPartGallery w:val="Page Numbers (Bottom of Page)"/>
        <w:docPartUnique/>
      </w:docPartObj>
    </w:sdtPr>
    <w:sdtEndPr>
      <w:rPr>
        <w:noProof/>
      </w:rPr>
    </w:sdtEndPr>
    <w:sdtContent>
      <w:p w14:paraId="2903CBC8" w14:textId="77FB786E" w:rsidR="003D6E76" w:rsidRDefault="003D6E76">
        <w:pPr>
          <w:pStyle w:val="Footer"/>
          <w:jc w:val="right"/>
        </w:pPr>
        <w:r>
          <w:fldChar w:fldCharType="begin"/>
        </w:r>
        <w:r>
          <w:instrText xml:space="preserve"> PAGE   \* MERGEFORMAT </w:instrText>
        </w:r>
        <w:r>
          <w:fldChar w:fldCharType="separate"/>
        </w:r>
        <w:r w:rsidR="00EC1507">
          <w:rPr>
            <w:noProof/>
          </w:rPr>
          <w:t>1</w:t>
        </w:r>
        <w:r>
          <w:rPr>
            <w:noProof/>
          </w:rPr>
          <w:fldChar w:fldCharType="end"/>
        </w:r>
      </w:p>
    </w:sdtContent>
  </w:sdt>
  <w:p w14:paraId="44EAFD9C" w14:textId="77777777" w:rsidR="003D6E76" w:rsidRDefault="003D6E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CCFC4" w14:textId="77777777" w:rsidR="000719C7" w:rsidRDefault="000719C7" w:rsidP="00603D58">
      <w:pPr>
        <w:spacing w:after="0" w:line="240" w:lineRule="auto"/>
      </w:pPr>
      <w:r>
        <w:separator/>
      </w:r>
    </w:p>
  </w:footnote>
  <w:footnote w:type="continuationSeparator" w:id="0">
    <w:p w14:paraId="737E13FF" w14:textId="77777777" w:rsidR="000719C7" w:rsidRDefault="000719C7" w:rsidP="00603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959F3" w14:textId="77777777" w:rsidR="00603D58" w:rsidRDefault="00603D58">
    <w:pPr>
      <w:pStyle w:val="Header"/>
    </w:pPr>
    <w:r w:rsidRPr="00E650A4">
      <w:rPr>
        <w:rFonts w:ascii="Ebrima" w:hAnsi="Ebrima"/>
        <w:b/>
        <w:noProof/>
      </w:rPr>
      <w:drawing>
        <wp:anchor distT="0" distB="0" distL="114300" distR="114300" simplePos="0" relativeHeight="251659264" behindDoc="0" locked="0" layoutInCell="1" allowOverlap="1" wp14:anchorId="526E92E4" wp14:editId="77061C27">
          <wp:simplePos x="0" y="0"/>
          <wp:positionH relativeFrom="margin">
            <wp:posOffset>5276850</wp:posOffset>
          </wp:positionH>
          <wp:positionV relativeFrom="paragraph">
            <wp:posOffset>-219075</wp:posOffset>
          </wp:positionV>
          <wp:extent cx="1076325" cy="426085"/>
          <wp:effectExtent l="0" t="0" r="9525" b="0"/>
          <wp:wrapSquare wrapText="bothSides"/>
          <wp:docPr id="1" name="Picture 8" descr="log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text"/>
                  <pic:cNvPicPr>
                    <a:picLocks noChangeAspect="1" noChangeArrowheads="1"/>
                  </pic:cNvPicPr>
                </pic:nvPicPr>
                <pic:blipFill>
                  <a:blip r:embed="rId1" cstate="print"/>
                  <a:srcRect/>
                  <a:stretch>
                    <a:fillRect/>
                  </a:stretch>
                </pic:blipFill>
                <pic:spPr bwMode="auto">
                  <a:xfrm>
                    <a:off x="0" y="0"/>
                    <a:ext cx="1076325" cy="426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A035A9"/>
    <w:multiLevelType w:val="hybridMultilevel"/>
    <w:tmpl w:val="FA8C7C4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21740"/>
    <w:multiLevelType w:val="hybridMultilevel"/>
    <w:tmpl w:val="BF4E978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6D"/>
    <w:rsid w:val="0001228C"/>
    <w:rsid w:val="00030EE9"/>
    <w:rsid w:val="000719C7"/>
    <w:rsid w:val="00080977"/>
    <w:rsid w:val="000969F6"/>
    <w:rsid w:val="000A2541"/>
    <w:rsid w:val="000E62C8"/>
    <w:rsid w:val="00117847"/>
    <w:rsid w:val="00160846"/>
    <w:rsid w:val="00177E54"/>
    <w:rsid w:val="001E0508"/>
    <w:rsid w:val="002213F9"/>
    <w:rsid w:val="00221B89"/>
    <w:rsid w:val="0023402F"/>
    <w:rsid w:val="0025138B"/>
    <w:rsid w:val="002803A0"/>
    <w:rsid w:val="00300434"/>
    <w:rsid w:val="003316B6"/>
    <w:rsid w:val="00385B91"/>
    <w:rsid w:val="003A24B3"/>
    <w:rsid w:val="003B1634"/>
    <w:rsid w:val="003D6E76"/>
    <w:rsid w:val="0040172C"/>
    <w:rsid w:val="00446798"/>
    <w:rsid w:val="00476D90"/>
    <w:rsid w:val="004858C2"/>
    <w:rsid w:val="004B7B8D"/>
    <w:rsid w:val="004F13A1"/>
    <w:rsid w:val="0050586D"/>
    <w:rsid w:val="00515869"/>
    <w:rsid w:val="00590D2E"/>
    <w:rsid w:val="005B7D35"/>
    <w:rsid w:val="005C6120"/>
    <w:rsid w:val="005C626B"/>
    <w:rsid w:val="005D4CE2"/>
    <w:rsid w:val="00603D58"/>
    <w:rsid w:val="00632933"/>
    <w:rsid w:val="00695727"/>
    <w:rsid w:val="007266D4"/>
    <w:rsid w:val="00730BB4"/>
    <w:rsid w:val="00742CDC"/>
    <w:rsid w:val="007C46EB"/>
    <w:rsid w:val="00825522"/>
    <w:rsid w:val="008647EB"/>
    <w:rsid w:val="0088065A"/>
    <w:rsid w:val="008809E3"/>
    <w:rsid w:val="008D63C5"/>
    <w:rsid w:val="0093215A"/>
    <w:rsid w:val="009367B8"/>
    <w:rsid w:val="00943D9B"/>
    <w:rsid w:val="009456CA"/>
    <w:rsid w:val="009A0479"/>
    <w:rsid w:val="009A5689"/>
    <w:rsid w:val="009B34AD"/>
    <w:rsid w:val="00A745FE"/>
    <w:rsid w:val="00AD5886"/>
    <w:rsid w:val="00AF31AC"/>
    <w:rsid w:val="00B46B9D"/>
    <w:rsid w:val="00B61826"/>
    <w:rsid w:val="00B741BA"/>
    <w:rsid w:val="00BC238C"/>
    <w:rsid w:val="00BC2725"/>
    <w:rsid w:val="00BE3B75"/>
    <w:rsid w:val="00C06B44"/>
    <w:rsid w:val="00C22196"/>
    <w:rsid w:val="00C40D3C"/>
    <w:rsid w:val="00CC4363"/>
    <w:rsid w:val="00CE41C8"/>
    <w:rsid w:val="00D1710D"/>
    <w:rsid w:val="00D701A6"/>
    <w:rsid w:val="00DC27FA"/>
    <w:rsid w:val="00DD6150"/>
    <w:rsid w:val="00E10945"/>
    <w:rsid w:val="00E27CE3"/>
    <w:rsid w:val="00E40568"/>
    <w:rsid w:val="00E461CA"/>
    <w:rsid w:val="00EC1507"/>
    <w:rsid w:val="00F40196"/>
    <w:rsid w:val="00F5310C"/>
    <w:rsid w:val="00F54916"/>
    <w:rsid w:val="00F601E8"/>
    <w:rsid w:val="00F60E46"/>
    <w:rsid w:val="00F830E5"/>
    <w:rsid w:val="00F90D8A"/>
    <w:rsid w:val="00FA3E86"/>
    <w:rsid w:val="00FB5E3A"/>
    <w:rsid w:val="00FC203B"/>
    <w:rsid w:val="45F7F894"/>
    <w:rsid w:val="71058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D2925"/>
  <w15:chartTrackingRefBased/>
  <w15:docId w15:val="{ED8F5561-82D9-40FF-9E9A-C1FFA749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2F"/>
  </w:style>
  <w:style w:type="paragraph" w:styleId="Heading1">
    <w:name w:val="heading 1"/>
    <w:basedOn w:val="Normal"/>
    <w:next w:val="Normal"/>
    <w:link w:val="Heading1Char"/>
    <w:uiPriority w:val="9"/>
    <w:qFormat/>
    <w:rsid w:val="0023402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23402F"/>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23402F"/>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23402F"/>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23402F"/>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23402F"/>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23402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3402F"/>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23402F"/>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02F"/>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23402F"/>
    <w:rPr>
      <w:rFonts w:asciiTheme="majorHAnsi" w:eastAsiaTheme="majorEastAsia" w:hAnsiTheme="majorHAnsi" w:cstheme="majorBidi"/>
      <w:sz w:val="36"/>
      <w:szCs w:val="36"/>
    </w:rPr>
  </w:style>
  <w:style w:type="character" w:styleId="Hyperlink">
    <w:name w:val="Hyperlink"/>
    <w:basedOn w:val="DefaultParagraphFont"/>
    <w:uiPriority w:val="99"/>
    <w:unhideWhenUsed/>
    <w:rsid w:val="00B61826"/>
    <w:rPr>
      <w:color w:val="0563C1" w:themeColor="hyperlink"/>
      <w:u w:val="single"/>
    </w:rPr>
  </w:style>
  <w:style w:type="paragraph" w:styleId="Header">
    <w:name w:val="header"/>
    <w:basedOn w:val="Normal"/>
    <w:link w:val="HeaderChar"/>
    <w:uiPriority w:val="99"/>
    <w:unhideWhenUsed/>
    <w:rsid w:val="00603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D58"/>
  </w:style>
  <w:style w:type="paragraph" w:styleId="Footer">
    <w:name w:val="footer"/>
    <w:basedOn w:val="Normal"/>
    <w:link w:val="FooterChar"/>
    <w:uiPriority w:val="99"/>
    <w:unhideWhenUsed/>
    <w:rsid w:val="00603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D58"/>
  </w:style>
  <w:style w:type="paragraph" w:styleId="ListParagraph">
    <w:name w:val="List Paragraph"/>
    <w:basedOn w:val="Normal"/>
    <w:uiPriority w:val="34"/>
    <w:qFormat/>
    <w:rsid w:val="0023402F"/>
    <w:pPr>
      <w:ind w:left="720"/>
      <w:contextualSpacing/>
    </w:pPr>
  </w:style>
  <w:style w:type="paragraph" w:styleId="Caption">
    <w:name w:val="caption"/>
    <w:basedOn w:val="Normal"/>
    <w:next w:val="Normal"/>
    <w:uiPriority w:val="35"/>
    <w:unhideWhenUsed/>
    <w:qFormat/>
    <w:rsid w:val="0023402F"/>
    <w:pPr>
      <w:spacing w:line="240" w:lineRule="auto"/>
    </w:pPr>
    <w:rPr>
      <w:b/>
      <w:bCs/>
      <w:color w:val="ED7D31" w:themeColor="accent2"/>
      <w:spacing w:val="10"/>
      <w:sz w:val="16"/>
      <w:szCs w:val="16"/>
    </w:rPr>
  </w:style>
  <w:style w:type="table" w:styleId="TableGrid">
    <w:name w:val="Table Grid"/>
    <w:basedOn w:val="TableNormal"/>
    <w:uiPriority w:val="39"/>
    <w:rsid w:val="000E6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67B8"/>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23402F"/>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23402F"/>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23402F"/>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23402F"/>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23402F"/>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3402F"/>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23402F"/>
    <w:rPr>
      <w:rFonts w:asciiTheme="majorHAnsi" w:eastAsiaTheme="majorEastAsia" w:hAnsiTheme="majorHAnsi" w:cstheme="majorBidi"/>
      <w:i/>
      <w:iCs/>
      <w:caps/>
    </w:rPr>
  </w:style>
  <w:style w:type="paragraph" w:styleId="Title">
    <w:name w:val="Title"/>
    <w:basedOn w:val="Normal"/>
    <w:next w:val="Normal"/>
    <w:link w:val="TitleChar"/>
    <w:uiPriority w:val="10"/>
    <w:qFormat/>
    <w:rsid w:val="0023402F"/>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23402F"/>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23402F"/>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23402F"/>
    <w:rPr>
      <w:color w:val="000000" w:themeColor="text1"/>
      <w:sz w:val="24"/>
      <w:szCs w:val="24"/>
    </w:rPr>
  </w:style>
  <w:style w:type="character" w:styleId="Strong">
    <w:name w:val="Strong"/>
    <w:basedOn w:val="DefaultParagraphFont"/>
    <w:uiPriority w:val="22"/>
    <w:qFormat/>
    <w:rsid w:val="0023402F"/>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23402F"/>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23402F"/>
    <w:pPr>
      <w:spacing w:after="0" w:line="240" w:lineRule="auto"/>
    </w:pPr>
  </w:style>
  <w:style w:type="paragraph" w:styleId="Quote">
    <w:name w:val="Quote"/>
    <w:basedOn w:val="Normal"/>
    <w:next w:val="Normal"/>
    <w:link w:val="QuoteChar"/>
    <w:uiPriority w:val="29"/>
    <w:qFormat/>
    <w:rsid w:val="0023402F"/>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23402F"/>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23402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23402F"/>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23402F"/>
    <w:rPr>
      <w:i/>
      <w:iCs/>
      <w:color w:val="auto"/>
    </w:rPr>
  </w:style>
  <w:style w:type="character" w:styleId="IntenseEmphasis">
    <w:name w:val="Intense Emphasis"/>
    <w:basedOn w:val="DefaultParagraphFont"/>
    <w:uiPriority w:val="21"/>
    <w:qFormat/>
    <w:rsid w:val="0023402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23402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23402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23402F"/>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2340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maheen.mirza@tcf.org.p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tcf.org.p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cf.org.p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1CFA7CCC1D9A4388ECF0F2D653FF46" ma:contentTypeVersion="15" ma:contentTypeDescription="Create a new document." ma:contentTypeScope="" ma:versionID="fc5f20e5cd5e2a668d5f767dc416ef6d">
  <xsd:schema xmlns:xsd="http://www.w3.org/2001/XMLSchema" xmlns:xs="http://www.w3.org/2001/XMLSchema" xmlns:p="http://schemas.microsoft.com/office/2006/metadata/properties" xmlns:ns2="c88879c6-c3aa-48ed-8ea2-4e7244bb32e5" xmlns:ns3="f369a35d-2e67-4045-a561-5cb5354e0a91" targetNamespace="http://schemas.microsoft.com/office/2006/metadata/properties" ma:root="true" ma:fieldsID="1872c45c4adf6e097a6023ee9e6bb01d" ns2:_="" ns3:_="">
    <xsd:import namespace="c88879c6-c3aa-48ed-8ea2-4e7244bb32e5"/>
    <xsd:import namespace="f369a35d-2e67-4045-a561-5cb5354e0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79c6-c3aa-48ed-8ea2-4e7244bb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581ad6-50f2-4b6c-9215-c2d17a5bfc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69a35d-2e67-4045-a561-5cb5354e0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326ff-1df9-41eb-ae88-3fe7d035e161}" ma:internalName="TaxCatchAll" ma:showField="CatchAllData" ma:web="f369a35d-2e67-4045-a561-5cb5354e0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8879c6-c3aa-48ed-8ea2-4e7244bb32e5">
      <Terms xmlns="http://schemas.microsoft.com/office/infopath/2007/PartnerControls"/>
    </lcf76f155ced4ddcb4097134ff3c332f>
    <TaxCatchAll xmlns="f369a35d-2e67-4045-a561-5cb5354e0a91" xsi:nil="true"/>
  </documentManagement>
</p:properties>
</file>

<file path=customXml/itemProps1.xml><?xml version="1.0" encoding="utf-8"?>
<ds:datastoreItem xmlns:ds="http://schemas.openxmlformats.org/officeDocument/2006/customXml" ds:itemID="{950F8702-FFEF-4C6D-86D6-6B6D65DA3A7D}">
  <ds:schemaRefs>
    <ds:schemaRef ds:uri="http://schemas.openxmlformats.org/officeDocument/2006/bibliography"/>
  </ds:schemaRefs>
</ds:datastoreItem>
</file>

<file path=customXml/itemProps2.xml><?xml version="1.0" encoding="utf-8"?>
<ds:datastoreItem xmlns:ds="http://schemas.openxmlformats.org/officeDocument/2006/customXml" ds:itemID="{B1A61B87-314A-4E26-B98E-5600B668F337}"/>
</file>

<file path=customXml/itemProps3.xml><?xml version="1.0" encoding="utf-8"?>
<ds:datastoreItem xmlns:ds="http://schemas.openxmlformats.org/officeDocument/2006/customXml" ds:itemID="{E2CF5EFC-E1FA-41E0-941B-0DD251829180}"/>
</file>

<file path=customXml/itemProps4.xml><?xml version="1.0" encoding="utf-8"?>
<ds:datastoreItem xmlns:ds="http://schemas.openxmlformats.org/officeDocument/2006/customXml" ds:itemID="{088F555F-53FA-4E86-B2F8-E6E547721B27}"/>
</file>

<file path=docProps/app.xml><?xml version="1.0" encoding="utf-8"?>
<Properties xmlns="http://schemas.openxmlformats.org/officeDocument/2006/extended-properties" xmlns:vt="http://schemas.openxmlformats.org/officeDocument/2006/docPropsVTypes">
  <Template>Normal</Template>
  <TotalTime>8</TotalTime>
  <Pages>5</Pages>
  <Words>1589</Words>
  <Characters>9205</Characters>
  <Application>Microsoft Office Word</Application>
  <DocSecurity>0</DocSecurity>
  <Lines>149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Umme Leila</dc:creator>
  <cp:keywords/>
  <dc:description/>
  <cp:lastModifiedBy>Habiba Shah</cp:lastModifiedBy>
  <cp:revision>6</cp:revision>
  <dcterms:created xsi:type="dcterms:W3CDTF">2023-10-23T05:10:00Z</dcterms:created>
  <dcterms:modified xsi:type="dcterms:W3CDTF">2024-05-07T11:12:00Z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70364d66538d1e59abac36cb16c63f0f4aa21abcf2aea70fe293f6d1cd184e18</vt:lpwstr>
  </property>
  <property fmtid="{D5CDD505-2E9C-101B-9397-08002B2CF9AE}" pid="3" name="ContentTypeId">
    <vt:lpwstr>0x010100EE1CFA7CCC1D9A4388ECF0F2D653FF46</vt:lpwstr>
  </property>
</Properties>
</file>